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4A" w:rsidRDefault="00164FBB" w:rsidP="003C6AE4">
      <w:pPr>
        <w:spacing w:after="0"/>
        <w:jc w:val="both"/>
        <w:rPr>
          <w:b/>
        </w:rPr>
      </w:pPr>
      <w:bookmarkStart w:id="0" w:name="_GoBack"/>
      <w:r>
        <w:rPr>
          <w:b/>
        </w:rPr>
        <w:t xml:space="preserve">(12) Kap. </w:t>
      </w:r>
      <w:r w:rsidR="00BA0DE7">
        <w:rPr>
          <w:b/>
        </w:rPr>
        <w:t xml:space="preserve">5. Das Schriftstellerexil II: </w:t>
      </w:r>
    </w:p>
    <w:p w:rsidR="00BA0DE7" w:rsidRDefault="00BA0DE7" w:rsidP="003C6AE4">
      <w:pPr>
        <w:spacing w:after="0"/>
        <w:jc w:val="both"/>
        <w:rPr>
          <w:b/>
        </w:rPr>
      </w:pPr>
      <w:r>
        <w:rPr>
          <w:b/>
        </w:rPr>
        <w:t xml:space="preserve">Gegenöffentlichkeit mit Hilfe der Literatur </w:t>
      </w:r>
      <w:r w:rsidR="005D6353">
        <w:rPr>
          <w:b/>
        </w:rPr>
        <w:t>–</w:t>
      </w:r>
      <w:r>
        <w:rPr>
          <w:b/>
        </w:rPr>
        <w:t xml:space="preserve"> </w:t>
      </w:r>
      <w:r w:rsidR="005D6353">
        <w:rPr>
          <w:b/>
        </w:rPr>
        <w:t xml:space="preserve">die </w:t>
      </w:r>
      <w:r>
        <w:rPr>
          <w:b/>
        </w:rPr>
        <w:t>Vorkriegsphase (1933-3</w:t>
      </w:r>
      <w:r w:rsidR="00FB0D95">
        <w:rPr>
          <w:b/>
        </w:rPr>
        <w:t>8</w:t>
      </w:r>
      <w:r>
        <w:rPr>
          <w:b/>
        </w:rPr>
        <w:t>)</w:t>
      </w:r>
    </w:p>
    <w:p w:rsidR="00E9732F" w:rsidRPr="00E76916" w:rsidRDefault="00E9732F" w:rsidP="003C6AE4">
      <w:pPr>
        <w:spacing w:after="0"/>
        <w:jc w:val="both"/>
        <w:rPr>
          <w:b/>
        </w:rPr>
      </w:pPr>
    </w:p>
    <w:p w:rsidR="00013788" w:rsidRDefault="00013788" w:rsidP="003C6AE4">
      <w:pPr>
        <w:spacing w:after="0"/>
        <w:jc w:val="both"/>
      </w:pPr>
      <w:r w:rsidRPr="00013788">
        <w:t>Aus der</w:t>
      </w:r>
      <w:r>
        <w:t xml:space="preserve"> Perspektive des heutigen Geschichtsbildes ist es nahezu selbstverständlich, dass die Ereignisse der ersten Hälfte des Jahres 1933: </w:t>
      </w:r>
      <w:r w:rsidR="00466AF7">
        <w:t>der Terror gegen die linken politischen Parteien und die Gewerkschaften, die Stigmatisierung und Entrechtung der jüdischen Bevölkerung</w:t>
      </w:r>
      <w:r w:rsidR="00466AF7">
        <w:t>s</w:t>
      </w:r>
      <w:r w:rsidR="00466AF7">
        <w:t xml:space="preserve">gruppe sowie </w:t>
      </w:r>
      <w:r w:rsidR="000442B1">
        <w:t xml:space="preserve">die Subversion der Verfassung mit der Hilfe </w:t>
      </w:r>
      <w:r w:rsidR="00466AF7">
        <w:t xml:space="preserve">des Ermächtigungsgesetzes und </w:t>
      </w:r>
      <w:r w:rsidR="000442B1">
        <w:t>der Notverordnungen,</w:t>
      </w:r>
      <w:r w:rsidR="00466AF7">
        <w:t xml:space="preserve"> </w:t>
      </w:r>
      <w:r w:rsidR="005D6353">
        <w:t>den Beginn der Diktatur markieren</w:t>
      </w:r>
      <w:r w:rsidR="00791C67">
        <w:t>, die in den Weltkrieg</w:t>
      </w:r>
      <w:r w:rsidR="00466AF7">
        <w:t xml:space="preserve"> und</w:t>
      </w:r>
      <w:r w:rsidR="00791C67">
        <w:t xml:space="preserve"> die J</w:t>
      </w:r>
      <w:r w:rsidR="00791C67">
        <w:t>u</w:t>
      </w:r>
      <w:r w:rsidR="00791C67">
        <w:t>denvernichtung</w:t>
      </w:r>
      <w:r>
        <w:t xml:space="preserve"> </w:t>
      </w:r>
      <w:r w:rsidR="00791C67">
        <w:t xml:space="preserve">einmündete. Aus der Sicht des Auslands jedoch stellte sich der Sachverhalt anders da. </w:t>
      </w:r>
      <w:r w:rsidR="00466AF7">
        <w:t>Für die meisten europäischen Regierungen</w:t>
      </w:r>
      <w:r w:rsidR="00791C67">
        <w:t xml:space="preserve"> handelte es sich um einen legalen R</w:t>
      </w:r>
      <w:r w:rsidR="00791C67">
        <w:t>e</w:t>
      </w:r>
      <w:r w:rsidR="00791C67">
        <w:t xml:space="preserve">gierungswechsel, und was die ersten Maßnahmen der neuen Regierung betraf, so wurden sie teilweise mit deutlichem Wohlwollen registriert, richteten sie sich doch vornehmlich gegen Sozialisten und Kommunisten, gegen unbotmäßige ‚Intellektuelle‘ und gegen ‚Juden‘. Im Hass gegen Sozialisten, Kommunisten, Intellektuelle und gegen Juden stand Deutschland in Europa keineswegs isoliert da; einflussreiche Gruppen in den anderen europäischen Staaten teilten die Auffassungen Hitlers </w:t>
      </w:r>
      <w:r w:rsidR="008D6623">
        <w:t>und der NSDAP.</w:t>
      </w:r>
    </w:p>
    <w:p w:rsidR="0031103E" w:rsidRDefault="008D6623" w:rsidP="003C6AE4">
      <w:pPr>
        <w:spacing w:after="0"/>
        <w:jc w:val="both"/>
      </w:pPr>
      <w:r>
        <w:tab/>
        <w:t xml:space="preserve">Das Deutsche Reich wurde </w:t>
      </w:r>
      <w:r w:rsidR="000442B1">
        <w:t>aufgrund des</w:t>
      </w:r>
      <w:r>
        <w:t xml:space="preserve"> Terror</w:t>
      </w:r>
      <w:r w:rsidR="000442B1">
        <w:t>s,</w:t>
      </w:r>
      <w:r>
        <w:t xml:space="preserve"> de</w:t>
      </w:r>
      <w:r w:rsidR="000442B1">
        <w:t>s Rassismus</w:t>
      </w:r>
      <w:r>
        <w:t xml:space="preserve"> </w:t>
      </w:r>
      <w:r w:rsidR="000442B1">
        <w:t xml:space="preserve">und der </w:t>
      </w:r>
      <w:r>
        <w:t>Unterdr</w:t>
      </w:r>
      <w:r>
        <w:t>ü</w:t>
      </w:r>
      <w:r>
        <w:t xml:space="preserve">ckung </w:t>
      </w:r>
      <w:r w:rsidR="000442B1">
        <w:t>i</w:t>
      </w:r>
      <w:r>
        <w:t xml:space="preserve">m Inneren </w:t>
      </w:r>
      <w:r w:rsidR="0031103E">
        <w:t xml:space="preserve">also keineswegs </w:t>
      </w:r>
      <w:r>
        <w:t xml:space="preserve">aus dem Kreis der zivilisierten Nationen ausgeschlossen, sondern, im Gegenteil, es wurde für manche konservative Regierung erst jetzt salonfähig. Der ‚starke Mann‘ war überall in Europa ein erstrebtes Idealbild. Dass ein solcher ‚starker Mann‘ in Deutschland, das von politischen und sozialen Krisen geschüttelt wurde, </w:t>
      </w:r>
      <w:r w:rsidR="00566AB2">
        <w:t xml:space="preserve">jetzt </w:t>
      </w:r>
      <w:r>
        <w:t xml:space="preserve">die Macht ausübte, wurde eher als Zeichen einer Wendung zum Besseren gewertet als zum Gegenteil. Dieser Tatbestand wird auch </w:t>
      </w:r>
      <w:r w:rsidR="00566AB2">
        <w:t xml:space="preserve">dadurch </w:t>
      </w:r>
      <w:r>
        <w:t>nicht aus der Welt geschafft, dass allenthalben in der liberalen Öffentlichkeit des Auslands Proteste gegen die Vorgänge in Deutschland laut wu</w:t>
      </w:r>
      <w:r>
        <w:t>r</w:t>
      </w:r>
      <w:r>
        <w:t xml:space="preserve">den. Die Regierungen überhörten sie. </w:t>
      </w:r>
      <w:r w:rsidR="00566AB2">
        <w:t xml:space="preserve">Noch </w:t>
      </w:r>
      <w:r w:rsidR="00497205">
        <w:t>1923 hatte Frankreich in einer ähnlichen Krisens</w:t>
      </w:r>
      <w:r w:rsidR="00497205">
        <w:t>i</w:t>
      </w:r>
      <w:r w:rsidR="00497205">
        <w:t xml:space="preserve">tuation durch militärischen Einmarsch ins Ruhrgebiet interveniert; 1933 </w:t>
      </w:r>
      <w:r w:rsidR="00F05C43">
        <w:t>war</w:t>
      </w:r>
      <w:r w:rsidR="00497205">
        <w:t xml:space="preserve"> von Erwägungen zu einer solchen Intervention nichts zu spüren.</w:t>
      </w:r>
      <w:r w:rsidR="00497205">
        <w:rPr>
          <w:rStyle w:val="Funotenzeichen"/>
        </w:rPr>
        <w:footnoteReference w:id="1"/>
      </w:r>
      <w:r w:rsidR="00497205">
        <w:t xml:space="preserve"> </w:t>
      </w:r>
    </w:p>
    <w:p w:rsidR="008D6623" w:rsidRDefault="001B4EF6" w:rsidP="003C6AE4">
      <w:pPr>
        <w:spacing w:after="0"/>
        <w:ind w:firstLine="708"/>
        <w:jc w:val="both"/>
      </w:pPr>
      <w:r>
        <w:t xml:space="preserve">Im Gegenteil: </w:t>
      </w:r>
      <w:r w:rsidR="0002223B">
        <w:t>Am 20. Juli 1933</w:t>
      </w:r>
      <w:r w:rsidR="0031103E">
        <w:t>, weniger als ein halbes Jahr nach der Ernennung Hi</w:t>
      </w:r>
      <w:r w:rsidR="0031103E">
        <w:t>t</w:t>
      </w:r>
      <w:r w:rsidR="0031103E">
        <w:t>lers zum Reichskanzler,</w:t>
      </w:r>
      <w:r w:rsidR="0002223B">
        <w:t xml:space="preserve"> schl</w:t>
      </w:r>
      <w:r w:rsidR="00F05C43">
        <w:t>oss</w:t>
      </w:r>
      <w:r w:rsidR="0002223B">
        <w:t xml:space="preserve"> der Vatikan ein Konkordat mit dem Deutschen Reich</w:t>
      </w:r>
      <w:r w:rsidR="0031103E">
        <w:t xml:space="preserve"> ab</w:t>
      </w:r>
      <w:r w:rsidR="0002223B">
        <w:t>. Di</w:t>
      </w:r>
      <w:r w:rsidR="0002223B">
        <w:t>e</w:t>
      </w:r>
      <w:r w:rsidR="0002223B">
        <w:t xml:space="preserve">ses </w:t>
      </w:r>
      <w:r w:rsidR="00960AC3">
        <w:t>Faktum</w:t>
      </w:r>
      <w:r w:rsidR="0002223B">
        <w:t xml:space="preserve"> bereitet</w:t>
      </w:r>
      <w:r w:rsidR="00F05C43">
        <w:t>e</w:t>
      </w:r>
      <w:r w:rsidR="0002223B">
        <w:t xml:space="preserve"> jed</w:t>
      </w:r>
      <w:r w:rsidR="0031103E">
        <w:t>wed</w:t>
      </w:r>
      <w:r w:rsidR="0002223B">
        <w:t>er Hoffnung auf eine Isol</w:t>
      </w:r>
      <w:r w:rsidR="00566AB2">
        <w:t>ierung</w:t>
      </w:r>
      <w:r w:rsidR="0002223B">
        <w:t xml:space="preserve"> </w:t>
      </w:r>
      <w:r w:rsidR="000442B1">
        <w:t xml:space="preserve">der Diktatur </w:t>
      </w:r>
      <w:r w:rsidR="0002223B">
        <w:t>ein Ende</w:t>
      </w:r>
      <w:r w:rsidR="002139F7">
        <w:t>.</w:t>
      </w:r>
      <w:r w:rsidR="0031103E">
        <w:t xml:space="preserve"> </w:t>
      </w:r>
      <w:r w:rsidR="002139F7">
        <w:t>D</w:t>
      </w:r>
      <w:r w:rsidR="0031103E">
        <w:t>er Vat</w:t>
      </w:r>
      <w:r w:rsidR="0031103E">
        <w:t>i</w:t>
      </w:r>
      <w:r w:rsidR="0031103E">
        <w:t xml:space="preserve">kan </w:t>
      </w:r>
      <w:r w:rsidR="00F05C43">
        <w:t>war</w:t>
      </w:r>
      <w:r w:rsidR="0031103E">
        <w:t xml:space="preserve"> die am meisten geachtete Institution der europäischen Diplomatie</w:t>
      </w:r>
      <w:r w:rsidR="002139F7">
        <w:t>; s</w:t>
      </w:r>
      <w:r w:rsidR="00566AB2">
        <w:t>chl</w:t>
      </w:r>
      <w:r w:rsidR="00F05C43">
        <w:t>oss</w:t>
      </w:r>
      <w:r w:rsidR="00566AB2">
        <w:t xml:space="preserve"> der Vat</w:t>
      </w:r>
      <w:r w:rsidR="00566AB2">
        <w:t>i</w:t>
      </w:r>
      <w:r w:rsidR="00566AB2">
        <w:t xml:space="preserve">kan ein Abkommen ab, so </w:t>
      </w:r>
      <w:r w:rsidR="00F05C43">
        <w:t>war</w:t>
      </w:r>
      <w:r w:rsidR="00566AB2">
        <w:t xml:space="preserve"> das der Beleg politisch-diplomatischer Anerkennung. </w:t>
      </w:r>
      <w:r w:rsidR="000442B1">
        <w:t>In Genf setz</w:t>
      </w:r>
      <w:r w:rsidR="00F05C43">
        <w:t>t</w:t>
      </w:r>
      <w:r w:rsidR="000442B1">
        <w:t>en</w:t>
      </w:r>
      <w:r w:rsidR="0002223B">
        <w:t xml:space="preserve"> </w:t>
      </w:r>
      <w:r>
        <w:t xml:space="preserve">Großbritannien, Frankreich und Italien </w:t>
      </w:r>
      <w:r w:rsidR="00566AB2">
        <w:t xml:space="preserve">ihre </w:t>
      </w:r>
      <w:r>
        <w:t xml:space="preserve">Abrüstungsgespräche </w:t>
      </w:r>
      <w:r w:rsidR="000442B1">
        <w:t>mit Deutschland fort</w:t>
      </w:r>
      <w:r>
        <w:t xml:space="preserve">. Statt </w:t>
      </w:r>
      <w:r w:rsidR="0002223B">
        <w:t>das Dritte Reich</w:t>
      </w:r>
      <w:r>
        <w:t xml:space="preserve"> </w:t>
      </w:r>
      <w:r w:rsidR="000442B1">
        <w:t>mit Hilfe des Instrumentariums von Sanktionen, die der Versailler Vertrag anb</w:t>
      </w:r>
      <w:r w:rsidR="00F05C43">
        <w:t>o</w:t>
      </w:r>
      <w:r w:rsidR="000442B1">
        <w:t xml:space="preserve">t, </w:t>
      </w:r>
      <w:r>
        <w:t xml:space="preserve">unter Druck zu setzen, </w:t>
      </w:r>
      <w:r w:rsidR="0002223B">
        <w:t>zeigt</w:t>
      </w:r>
      <w:r w:rsidR="00F05C43">
        <w:t>e</w:t>
      </w:r>
      <w:r w:rsidR="0002223B">
        <w:t xml:space="preserve"> man sich </w:t>
      </w:r>
      <w:r w:rsidR="000442B1">
        <w:t xml:space="preserve">auch angesichts der veränderten </w:t>
      </w:r>
      <w:r w:rsidR="00960AC3">
        <w:t>Situ</w:t>
      </w:r>
      <w:r w:rsidR="00960AC3">
        <w:t>a</w:t>
      </w:r>
      <w:r w:rsidR="00960AC3">
        <w:t xml:space="preserve">tion </w:t>
      </w:r>
      <w:r w:rsidR="0002223B">
        <w:t>verhandlungsbereit. Dies wiederum ermöglicht</w:t>
      </w:r>
      <w:r w:rsidR="00F05C43">
        <w:t>e</w:t>
      </w:r>
      <w:r w:rsidR="0002223B">
        <w:t xml:space="preserve"> es Deutschland, ohne dass </w:t>
      </w:r>
      <w:r w:rsidR="00960AC3">
        <w:t xml:space="preserve">es </w:t>
      </w:r>
      <w:r w:rsidR="0002223B">
        <w:t xml:space="preserve">Sanktionen zu befürchten </w:t>
      </w:r>
      <w:r w:rsidR="00960AC3">
        <w:t>h</w:t>
      </w:r>
      <w:r w:rsidR="00F05C43">
        <w:t>a</w:t>
      </w:r>
      <w:r w:rsidR="00960AC3">
        <w:t>tte</w:t>
      </w:r>
      <w:r w:rsidR="0002223B">
        <w:t>, zuerst die Abrüstungskonferenz</w:t>
      </w:r>
      <w:r w:rsidR="00960AC3">
        <w:t>, dann,</w:t>
      </w:r>
      <w:r w:rsidR="0002223B">
        <w:t xml:space="preserve"> am 19. Oktober 1933</w:t>
      </w:r>
      <w:r w:rsidR="00960AC3">
        <w:t>,</w:t>
      </w:r>
      <w:r w:rsidR="0002223B">
        <w:t xml:space="preserve"> auch den Völkerbund zu verlassen. Wie Hohn muss</w:t>
      </w:r>
      <w:r w:rsidR="00F05C43">
        <w:t>te</w:t>
      </w:r>
      <w:r w:rsidR="0002223B">
        <w:t xml:space="preserve"> es der politischen Opposition erscheinen, dass </w:t>
      </w:r>
      <w:r w:rsidR="00F05C43">
        <w:t xml:space="preserve">im Januar 1934 ausgerechnet </w:t>
      </w:r>
      <w:r w:rsidR="0002223B">
        <w:t>Polen mit Deutschland einen Nichtangriffspakt und Freundschaf</w:t>
      </w:r>
      <w:r w:rsidR="0002223B">
        <w:t>t</w:t>
      </w:r>
      <w:r w:rsidR="0002223B">
        <w:t>vertrag abschl</w:t>
      </w:r>
      <w:r w:rsidR="00F05C43">
        <w:t>oss</w:t>
      </w:r>
      <w:r w:rsidR="0031103E">
        <w:t>. Im März 1935 sagt</w:t>
      </w:r>
      <w:r w:rsidR="00F05C43">
        <w:t>e</w:t>
      </w:r>
      <w:r w:rsidR="0031103E">
        <w:t xml:space="preserve"> sich Deutschland </w:t>
      </w:r>
      <w:r w:rsidR="00F05C43">
        <w:t xml:space="preserve">dann </w:t>
      </w:r>
      <w:r w:rsidR="0031103E">
        <w:t>von den Rüstungsbeschränku</w:t>
      </w:r>
      <w:r w:rsidR="0031103E">
        <w:t>n</w:t>
      </w:r>
      <w:r w:rsidR="0031103E">
        <w:t>gen des Versailler Vertrages los; im Juni 1935 schl</w:t>
      </w:r>
      <w:r w:rsidR="00F05C43">
        <w:t>oss</w:t>
      </w:r>
      <w:r w:rsidR="0031103E">
        <w:t xml:space="preserve"> Großbritannien mit dem Deutschen Reich ein Flottenabkommen.</w:t>
      </w:r>
    </w:p>
    <w:p w:rsidR="0002223B" w:rsidRDefault="002139F7" w:rsidP="003C6AE4">
      <w:pPr>
        <w:spacing w:after="0"/>
        <w:jc w:val="both"/>
      </w:pPr>
      <w:r>
        <w:lastRenderedPageBreak/>
        <w:tab/>
      </w:r>
      <w:r w:rsidR="00F05C43">
        <w:t xml:space="preserve">Speziell </w:t>
      </w:r>
      <w:r>
        <w:t>Frankreich verfolgt</w:t>
      </w:r>
      <w:r w:rsidR="00F05C43">
        <w:t>e</w:t>
      </w:r>
      <w:r>
        <w:t xml:space="preserve"> unter Hitler eine völlig andere Politik als in langen Ja</w:t>
      </w:r>
      <w:r>
        <w:t>h</w:t>
      </w:r>
      <w:r>
        <w:t>ren davor: Es glaubt</w:t>
      </w:r>
      <w:r w:rsidR="00F05C43">
        <w:t>e</w:t>
      </w:r>
      <w:r>
        <w:t>, durch Anerkennung von ‚berechtigten Forderungen‘ dem in Deutsc</w:t>
      </w:r>
      <w:r>
        <w:t>h</w:t>
      </w:r>
      <w:r>
        <w:t xml:space="preserve">land virulenten </w:t>
      </w:r>
      <w:r w:rsidR="00F05C43">
        <w:t>Militarismus und Chauvini</w:t>
      </w:r>
      <w:r>
        <w:t xml:space="preserve">smus die Spitze nehmen zu können. Immer stärker </w:t>
      </w:r>
      <w:r w:rsidR="00F05C43">
        <w:t>war</w:t>
      </w:r>
      <w:r>
        <w:t xml:space="preserve"> man bereit – zuerst in der Saarfrage, dann </w:t>
      </w:r>
      <w:r w:rsidR="00F05C43">
        <w:t>bei</w:t>
      </w:r>
      <w:r>
        <w:t xml:space="preserve"> der Aufrüstung, </w:t>
      </w:r>
      <w:r w:rsidR="00F05C43">
        <w:t>be</w:t>
      </w:r>
      <w:r>
        <w:t>im „Anschluss“ Öste</w:t>
      </w:r>
      <w:r>
        <w:t>r</w:t>
      </w:r>
      <w:r>
        <w:t>reichs und zuletzt in der Sudetenfrage – eine, wie man meint</w:t>
      </w:r>
      <w:r w:rsidR="00F05C43">
        <w:t>e</w:t>
      </w:r>
      <w:r>
        <w:t>, ‚vertragliche‘ Revision des Versailler Vertrages einzuleiten. Damit aber arbeitete man nicht nur Hitler in die Hände – man desavouierte auch alle Hitler-Gegner, die die Warnung: ‚Hitler führt zum Krieg‘, als L</w:t>
      </w:r>
      <w:r>
        <w:t>o</w:t>
      </w:r>
      <w:r>
        <w:t>sung auf ihre Fahnen geschrieben hatten.</w:t>
      </w:r>
    </w:p>
    <w:p w:rsidR="004F1913" w:rsidRDefault="004F1913" w:rsidP="003C6AE4">
      <w:pPr>
        <w:spacing w:after="0"/>
        <w:jc w:val="both"/>
      </w:pPr>
    </w:p>
    <w:p w:rsidR="0002223B" w:rsidRDefault="002139F7" w:rsidP="003C6AE4">
      <w:pPr>
        <w:spacing w:after="0"/>
        <w:jc w:val="both"/>
      </w:pPr>
      <w:r>
        <w:tab/>
      </w:r>
      <w:r w:rsidR="00661C9F">
        <w:t>Diese Sach</w:t>
      </w:r>
      <w:r w:rsidR="00F05C43">
        <w:t>lage</w:t>
      </w:r>
      <w:r w:rsidR="00661C9F">
        <w:t xml:space="preserve"> bestimmt</w:t>
      </w:r>
      <w:r w:rsidR="00A03ECE">
        <w:t>e</w:t>
      </w:r>
      <w:r w:rsidR="00661C9F">
        <w:t xml:space="preserve"> das politische Handeln der Exilanten in der ersten </w:t>
      </w:r>
      <w:r w:rsidR="00376FD5">
        <w:t xml:space="preserve">Phase des Exils. </w:t>
      </w:r>
      <w:r w:rsidR="00A03ECE">
        <w:t>Da die innerdeutschen Informationsmedien inzwischen von der Regierung kontro</w:t>
      </w:r>
      <w:r w:rsidR="00A03ECE">
        <w:t>l</w:t>
      </w:r>
      <w:r w:rsidR="00A03ECE">
        <w:t>liert wurden und die Möglichkeiten ausländischer Berichterstatter, sich ein adäquates Bild zu machen, aufgrund von Überwachung und Zugangssperrungen – so zu den Konzentrationsl</w:t>
      </w:r>
      <w:r w:rsidR="00A03ECE">
        <w:t>a</w:t>
      </w:r>
      <w:r w:rsidR="00A03ECE">
        <w:t>gern und Polizeigefängnissen – begrenzt waren,</w:t>
      </w:r>
      <w:r w:rsidR="00376FD5">
        <w:t xml:space="preserve"> musste </w:t>
      </w:r>
      <w:r w:rsidR="00A03ECE">
        <w:t xml:space="preserve">es für die Exilanten </w:t>
      </w:r>
      <w:r w:rsidR="00376FD5">
        <w:t xml:space="preserve">das dringlichste Bestreben sein, </w:t>
      </w:r>
      <w:r w:rsidR="0082745D">
        <w:t xml:space="preserve">eine ‚Gegenöffentlichkeit‘ zu erstellen, damit überhaupt Informationen über das tatsächliche Geschehen, das sich in Deutschland vollzog, übermittelt werden konnten. Das Ziel war es, für das Ausland </w:t>
      </w:r>
      <w:r w:rsidR="00376FD5">
        <w:t xml:space="preserve">den </w:t>
      </w:r>
      <w:r w:rsidR="0082745D">
        <w:t>vermeintlich</w:t>
      </w:r>
      <w:r w:rsidR="00376FD5">
        <w:t xml:space="preserve"> ‚normalen‘ Regierungswechsel sowie die sich daran anschließenden Maßnahmen zur vorgeblichen </w:t>
      </w:r>
      <w:r w:rsidR="00A03ECE">
        <w:t>‚</w:t>
      </w:r>
      <w:r w:rsidR="00376FD5">
        <w:t>Wiederherstellung der staatlichen Or</w:t>
      </w:r>
      <w:r w:rsidR="00376FD5">
        <w:t>d</w:t>
      </w:r>
      <w:r w:rsidR="00376FD5">
        <w:t>nung</w:t>
      </w:r>
      <w:r w:rsidR="00A03ECE">
        <w:t>‘</w:t>
      </w:r>
      <w:r w:rsidR="00376FD5">
        <w:t xml:space="preserve"> – das Ermächtigungsgesetz trug bekanntlich den irreleitenden Titel „Gesetz zur Beh</w:t>
      </w:r>
      <w:r w:rsidR="00376FD5">
        <w:t>e</w:t>
      </w:r>
      <w:r w:rsidR="00376FD5">
        <w:t>bung der Not von Volk und Reich“ –</w:t>
      </w:r>
      <w:r w:rsidR="0082745D">
        <w:t xml:space="preserve"> </w:t>
      </w:r>
      <w:r w:rsidR="00376FD5">
        <w:t>als Beginn einer terroristischen, revanchistischen und antisem</w:t>
      </w:r>
      <w:r w:rsidR="00A03ECE">
        <w:t>i</w:t>
      </w:r>
      <w:r w:rsidR="00376FD5">
        <w:t>tischen Diktatur begreiflich zu machen</w:t>
      </w:r>
      <w:r w:rsidR="0082745D">
        <w:t xml:space="preserve"> – einer Diktatur, die den Frieden in Mittele</w:t>
      </w:r>
      <w:r w:rsidR="0082745D">
        <w:t>u</w:t>
      </w:r>
      <w:r w:rsidR="0082745D">
        <w:t>ropa gefährdete und letztlich zum Krieg führen musste.</w:t>
      </w:r>
      <w:r w:rsidR="00376FD5">
        <w:t xml:space="preserve"> </w:t>
      </w:r>
    </w:p>
    <w:p w:rsidR="00514BC9" w:rsidRDefault="0082745D" w:rsidP="003C6AE4">
      <w:pPr>
        <w:spacing w:after="0"/>
        <w:jc w:val="both"/>
      </w:pPr>
      <w:r>
        <w:tab/>
        <w:t>Diesem Verhalten lag keine politisch reflektierte Strategie zugrunde</w:t>
      </w:r>
      <w:r w:rsidR="004F1913">
        <w:t xml:space="preserve">. </w:t>
      </w:r>
      <w:r w:rsidR="00514BC9">
        <w:t xml:space="preserve">Es erwuchs aus der Situation, baute im Wesentlichen auf der Reputation und Glaubwürdigkeit einer speziellen Gruppe von prominenten Exilanten auf: der Schriftsteller und Publizisten, und </w:t>
      </w:r>
      <w:r>
        <w:t xml:space="preserve">war zu einem Gutteil nichts anderes als Aktionismus. </w:t>
      </w:r>
      <w:r w:rsidR="00267E0C">
        <w:t xml:space="preserve">Für </w:t>
      </w:r>
      <w:r w:rsidR="00514BC9">
        <w:t>die liberale Öffentlichkeit des</w:t>
      </w:r>
      <w:r w:rsidR="00267E0C">
        <w:t xml:space="preserve"> Ausland</w:t>
      </w:r>
      <w:r w:rsidR="00514BC9">
        <w:t>s</w:t>
      </w:r>
      <w:r w:rsidR="00267E0C">
        <w:t xml:space="preserve"> stand die Integrität von Autoren wie Heinrich Mann, Lion Feuchtwanger, Ernst Toller oder Stefan Zweig bzw. von Pazifisten wie Albert Einstein, Ludwig Quidde, Helene Stöcker oder Hel</w:t>
      </w:r>
      <w:r w:rsidR="00267E0C">
        <w:t>l</w:t>
      </w:r>
      <w:r w:rsidR="00267E0C">
        <w:t>muth von Gerlach außer Frage.</w:t>
      </w:r>
      <w:r w:rsidR="00514BC9">
        <w:t xml:space="preserve"> Ihnen vertraute man; was sie sagte, wurde gehört.</w:t>
      </w:r>
    </w:p>
    <w:p w:rsidR="00974BBB" w:rsidRDefault="00280CB7" w:rsidP="003C6AE4">
      <w:pPr>
        <w:spacing w:after="0"/>
        <w:jc w:val="both"/>
      </w:pPr>
      <w:r>
        <w:tab/>
        <w:t xml:space="preserve">Dieser Aktionismus kam </w:t>
      </w:r>
      <w:r w:rsidR="00514BC9">
        <w:t xml:space="preserve">der Politik </w:t>
      </w:r>
      <w:r>
        <w:t xml:space="preserve">einer einflussreichen </w:t>
      </w:r>
      <w:r w:rsidR="00375F3B">
        <w:t>Gruppierung</w:t>
      </w:r>
      <w:r>
        <w:t xml:space="preserve"> entgegen, der KPD. Die KPD </w:t>
      </w:r>
      <w:r w:rsidR="00514BC9">
        <w:t xml:space="preserve">verfolgte </w:t>
      </w:r>
      <w:r w:rsidR="00FF04A5">
        <w:t xml:space="preserve">in der Anfangsphase des Exils </w:t>
      </w:r>
      <w:r w:rsidR="00514BC9">
        <w:t>eine ebenso kurzfristig</w:t>
      </w:r>
      <w:r w:rsidR="00CE7548">
        <w:t xml:space="preserve"> angelegt</w:t>
      </w:r>
      <w:r w:rsidR="00514BC9">
        <w:t xml:space="preserve">e Politik. Sie </w:t>
      </w:r>
      <w:r>
        <w:t>war der Überzeugung, dass die SA als der ‚sozialistische‘ Teil des Nazismus sich empören würde, sobald dieser den ‚Betrug‘, der vonstattengehe, indem Hitler mit dem Bü</w:t>
      </w:r>
      <w:r>
        <w:t>r</w:t>
      </w:r>
      <w:r>
        <w:t>gertum paktiere, erkannt habe.</w:t>
      </w:r>
      <w:r>
        <w:rPr>
          <w:rStyle w:val="Funotenzeichen"/>
        </w:rPr>
        <w:footnoteReference w:id="2"/>
      </w:r>
      <w:r>
        <w:t xml:space="preserve"> </w:t>
      </w:r>
      <w:r w:rsidR="00514BC9">
        <w:t>Teilweise</w:t>
      </w:r>
      <w:r>
        <w:t xml:space="preserve"> rechnete</w:t>
      </w:r>
      <w:r w:rsidR="00514BC9">
        <w:t xml:space="preserve"> man auch </w:t>
      </w:r>
      <w:r>
        <w:t>mit der Einsetzung einer Mil</w:t>
      </w:r>
      <w:r>
        <w:t>i</w:t>
      </w:r>
      <w:r>
        <w:t>tärdiktatur, sobald Hitler seine ihm vom Großkapital übertragene Funktion, die Arbeiterbew</w:t>
      </w:r>
      <w:r>
        <w:t>e</w:t>
      </w:r>
      <w:r>
        <w:t>gung zu zerschlagen, erfüllt habe.</w:t>
      </w:r>
      <w:r>
        <w:rPr>
          <w:rStyle w:val="Funotenzeichen"/>
        </w:rPr>
        <w:footnoteReference w:id="3"/>
      </w:r>
      <w:r>
        <w:t xml:space="preserve"> </w:t>
      </w:r>
      <w:r w:rsidR="00F11742">
        <w:t>In beiden Fällen handelte es sich um Analysen</w:t>
      </w:r>
      <w:r w:rsidR="00D4560E">
        <w:t xml:space="preserve">, die auf der Möglichkeit einer </w:t>
      </w:r>
      <w:r w:rsidR="00FF04A5">
        <w:t>schnell</w:t>
      </w:r>
      <w:r w:rsidR="00D4560E">
        <w:t xml:space="preserve">en Veränderung der </w:t>
      </w:r>
      <w:r w:rsidR="00FF04A5">
        <w:t>Machtverhältnisse</w:t>
      </w:r>
      <w:r w:rsidR="00D4560E">
        <w:t xml:space="preserve"> basierten.</w:t>
      </w:r>
      <w:r w:rsidR="00F11742">
        <w:t xml:space="preserve"> </w:t>
      </w:r>
      <w:r>
        <w:t>– Dass solche E</w:t>
      </w:r>
      <w:r>
        <w:t>r</w:t>
      </w:r>
      <w:r>
        <w:t xml:space="preserve">wartungen der tatsächlich bestehenden </w:t>
      </w:r>
      <w:r w:rsidR="00D4560E">
        <w:t>Lage</w:t>
      </w:r>
      <w:r>
        <w:t xml:space="preserve"> nicht gerecht wurden und dass </w:t>
      </w:r>
      <w:r w:rsidR="00CE7548">
        <w:t>eine längerfristig angelegte, behutsamere Strategie</w:t>
      </w:r>
      <w:r>
        <w:t xml:space="preserve">, </w:t>
      </w:r>
      <w:r w:rsidR="00CE7548">
        <w:t>die auf einer Zusammenarbeit mit möglichen Bündnispar</w:t>
      </w:r>
      <w:r w:rsidR="00CE7548">
        <w:t>t</w:t>
      </w:r>
      <w:r w:rsidR="00CE7548">
        <w:t xml:space="preserve">nern innerhalb der westeuropäischen Demokratien hätte basieren müssen, vielleicht richtiger gewesen wäre, wurde nicht hinreichend erwogen. </w:t>
      </w:r>
      <w:r w:rsidR="00974BBB">
        <w:t>Wer – so die zusätzliche Frage – sollte Tr</w:t>
      </w:r>
      <w:r w:rsidR="00974BBB">
        <w:t>ä</w:t>
      </w:r>
      <w:r w:rsidR="00974BBB">
        <w:t xml:space="preserve">ger dieser Strategie sein? Die SPD, der frühere Kanzler Brüning? </w:t>
      </w:r>
      <w:r w:rsidR="00B41A15">
        <w:t xml:space="preserve">Sowohl die SPD als auch </w:t>
      </w:r>
      <w:r w:rsidR="00B41A15">
        <w:lastRenderedPageBreak/>
        <w:t>die Vertreter der bürgerlichen Parteien, die nach 1933 ins Exil gingen, hatten aufgrund ihrer während der Weimarer Republik betriebenen Politik in den Augen der Mehrzahl der Exila</w:t>
      </w:r>
      <w:r w:rsidR="00B41A15">
        <w:t>n</w:t>
      </w:r>
      <w:r w:rsidR="00B41A15">
        <w:t xml:space="preserve">ten ihre Glaubwürdigkeit verloren. </w:t>
      </w:r>
    </w:p>
    <w:p w:rsidR="00280CB7" w:rsidRPr="00F11742" w:rsidRDefault="00FF04A5" w:rsidP="003C6AE4">
      <w:pPr>
        <w:spacing w:after="0"/>
        <w:ind w:firstLine="708"/>
        <w:jc w:val="both"/>
      </w:pPr>
      <w:r>
        <w:t>Eine solche Strategie</w:t>
      </w:r>
      <w:r w:rsidR="00CE7548">
        <w:t xml:space="preserve"> hätte außerdem bedeutet, Abstand von der KPD zu wahren. </w:t>
      </w:r>
      <w:r w:rsidR="00375F3B">
        <w:t>Das war aufgrund des Einflusses, den die KPD speziell auf Teile der ‚Linksintelligenz‘ ausübte</w:t>
      </w:r>
      <w:r>
        <w:t>,</w:t>
      </w:r>
      <w:r w:rsidR="00375F3B">
        <w:t xml:space="preserve"> sowie aufgrund der Bewunderung, mit der </w:t>
      </w:r>
      <w:r>
        <w:t xml:space="preserve">vom Exil aus der </w:t>
      </w:r>
      <w:r w:rsidR="00375F3B">
        <w:t>Widerstand</w:t>
      </w:r>
      <w:r>
        <w:t>skampf</w:t>
      </w:r>
      <w:r w:rsidR="00375F3B">
        <w:t xml:space="preserve"> </w:t>
      </w:r>
      <w:r w:rsidR="00577CEE">
        <w:t>gerade</w:t>
      </w:r>
      <w:r w:rsidR="00375F3B">
        <w:t xml:space="preserve"> der KPD verfolgt wurde, kaum möglich. </w:t>
      </w:r>
      <w:r>
        <w:t xml:space="preserve">– Es ist </w:t>
      </w:r>
      <w:r w:rsidR="00375F3B">
        <w:t xml:space="preserve">aus heutiger Sicht </w:t>
      </w:r>
      <w:r w:rsidR="00B41A15">
        <w:t>au</w:t>
      </w:r>
      <w:r>
        <w:t xml:space="preserve">ch </w:t>
      </w:r>
      <w:r w:rsidR="00375F3B">
        <w:t xml:space="preserve">keineswegs sicher, dass eine derartige Politik tatsächlich erfolgreicher gewesen wäre. Es waren die äußeren </w:t>
      </w:r>
      <w:r w:rsidR="00F11742">
        <w:t>Umstä</w:t>
      </w:r>
      <w:r w:rsidR="00F11742">
        <w:t>n</w:t>
      </w:r>
      <w:r w:rsidR="00F11742">
        <w:t>de</w:t>
      </w:r>
      <w:r w:rsidR="00375F3B">
        <w:t>, die</w:t>
      </w:r>
      <w:r w:rsidR="00F11742">
        <w:t xml:space="preserve"> </w:t>
      </w:r>
      <w:r>
        <w:t xml:space="preserve">die Exilanten </w:t>
      </w:r>
      <w:r w:rsidR="00F11742">
        <w:t>mehr oder weniger stark darauf hindrängten, den Kampf gegen die Di</w:t>
      </w:r>
      <w:r w:rsidR="00F11742">
        <w:t>k</w:t>
      </w:r>
      <w:r w:rsidR="00F11742">
        <w:t>tatur zunächst vornehmlich mit den Mitteln der Propaganda aufzunehmen. Diese Entwicklung war im Übrigen nicht beeinflussbar</w:t>
      </w:r>
      <w:r w:rsidR="00375F3B">
        <w:t xml:space="preserve">. </w:t>
      </w:r>
      <w:r w:rsidR="00F11742">
        <w:t xml:space="preserve">Es handelte sich um eine </w:t>
      </w:r>
      <w:r w:rsidR="00F11742" w:rsidRPr="00B41A15">
        <w:rPr>
          <w:i/>
        </w:rPr>
        <w:t>aus der Situation erwachsene</w:t>
      </w:r>
      <w:r w:rsidR="00F11742">
        <w:t xml:space="preserve">, mehr oder weniger </w:t>
      </w:r>
      <w:r w:rsidR="00F11742" w:rsidRPr="00A4128C">
        <w:t>zwangsläufige</w:t>
      </w:r>
      <w:r w:rsidR="00F11742">
        <w:t xml:space="preserve"> </w:t>
      </w:r>
      <w:r w:rsidR="00F11742" w:rsidRPr="00A4128C">
        <w:rPr>
          <w:i/>
        </w:rPr>
        <w:t>Funktionszuweisung</w:t>
      </w:r>
      <w:r w:rsidR="00F11742" w:rsidRPr="00B41A15">
        <w:t xml:space="preserve"> </w:t>
      </w:r>
      <w:r w:rsidR="00F11742">
        <w:t>an die Literatur</w:t>
      </w:r>
      <w:r>
        <w:t>, speziell</w:t>
      </w:r>
      <w:r w:rsidR="00F11742">
        <w:t xml:space="preserve"> an die aus Deutschland geflüchteten Schriftsteller und Publizisten.</w:t>
      </w:r>
    </w:p>
    <w:p w:rsidR="008B54B6" w:rsidRDefault="00F11742" w:rsidP="003C6AE4">
      <w:pPr>
        <w:spacing w:after="0"/>
        <w:jc w:val="both"/>
      </w:pPr>
      <w:r>
        <w:tab/>
        <w:t xml:space="preserve">Die entscheidende Schwäche der </w:t>
      </w:r>
      <w:r w:rsidR="00D4560E">
        <w:t xml:space="preserve">hier skizzierten </w:t>
      </w:r>
      <w:r>
        <w:t xml:space="preserve">Politik bestand darin, </w:t>
      </w:r>
      <w:r w:rsidR="00D4560E">
        <w:t xml:space="preserve">dass sie </w:t>
      </w:r>
      <w:r w:rsidR="00FF04A5">
        <w:t>di</w:t>
      </w:r>
      <w:r w:rsidR="00D4560E">
        <w:t xml:space="preserve">e kritische Reflexion </w:t>
      </w:r>
      <w:r w:rsidR="00FF04A5">
        <w:t>ein</w:t>
      </w:r>
      <w:r w:rsidR="00D4560E">
        <w:t>er möglichen eigenen Verantwortung für den Zusammenbruch der R</w:t>
      </w:r>
      <w:r w:rsidR="00D4560E">
        <w:t>e</w:t>
      </w:r>
      <w:r w:rsidR="00D4560E">
        <w:t xml:space="preserve">publik </w:t>
      </w:r>
      <w:r w:rsidR="00FF04A5">
        <w:t>völlig hintenan stellte</w:t>
      </w:r>
      <w:r w:rsidR="00D4560E">
        <w:t xml:space="preserve"> und stattdessen die Schuld einzig und allein den antidemokrat</w:t>
      </w:r>
      <w:r w:rsidR="00D4560E">
        <w:t>i</w:t>
      </w:r>
      <w:r w:rsidR="00D4560E">
        <w:t xml:space="preserve">schen Kräften zumaß. </w:t>
      </w:r>
      <w:r w:rsidR="00A97A85">
        <w:t>Dabei trugen speziell KPD und SPD</w:t>
      </w:r>
      <w:r w:rsidR="00FF04A5">
        <w:t>, die stärksten Parteien des ‚polit</w:t>
      </w:r>
      <w:r w:rsidR="00FF04A5">
        <w:t>i</w:t>
      </w:r>
      <w:r w:rsidR="00FF04A5">
        <w:t>schen Exils‘,</w:t>
      </w:r>
      <w:r w:rsidR="00A97A85">
        <w:t xml:space="preserve"> zweifelsohne eine Mitschuld am Zusammenbruch der Republik: aufgrund </w:t>
      </w:r>
      <w:r w:rsidR="00C401AF">
        <w:t>fu</w:t>
      </w:r>
      <w:r w:rsidR="00C401AF">
        <w:t>n</w:t>
      </w:r>
      <w:r w:rsidR="00C401AF">
        <w:t xml:space="preserve">damentaler politischer Fehler sowie </w:t>
      </w:r>
      <w:r w:rsidR="00A97A85">
        <w:t xml:space="preserve">des erbarmungslosen Kampfes, den sie gegeneinander </w:t>
      </w:r>
      <w:r w:rsidR="00FF04A5">
        <w:t>ge</w:t>
      </w:r>
      <w:r w:rsidR="00A97A85">
        <w:t>führt</w:t>
      </w:r>
      <w:r w:rsidR="00FF04A5">
        <w:t xml:space="preserve"> hatt</w:t>
      </w:r>
      <w:r w:rsidR="00A97A85">
        <w:t>en</w:t>
      </w:r>
      <w:r w:rsidR="008B54B6">
        <w:t>,</w:t>
      </w:r>
      <w:r w:rsidR="00A97A85">
        <w:t xml:space="preserve"> der </w:t>
      </w:r>
      <w:r w:rsidR="00C401AF">
        <w:t xml:space="preserve">seinerseits </w:t>
      </w:r>
      <w:r w:rsidR="00A97A85">
        <w:t xml:space="preserve">Verletzungen </w:t>
      </w:r>
      <w:r w:rsidR="00980640">
        <w:t>zur Folge hatte</w:t>
      </w:r>
      <w:r w:rsidR="00A97A85">
        <w:t>, die jede Form eines auch nur v</w:t>
      </w:r>
      <w:r w:rsidR="00A97A85">
        <w:t>o</w:t>
      </w:r>
      <w:r w:rsidR="00A97A85">
        <w:t>rübergehenden gemeinsamen Vorgehens gegen die NSDAP aus</w:t>
      </w:r>
      <w:r w:rsidR="008B54B6">
        <w:t>ge</w:t>
      </w:r>
      <w:r w:rsidR="00A97A85">
        <w:t>schlossen</w:t>
      </w:r>
      <w:r w:rsidR="008B54B6">
        <w:t xml:space="preserve"> hatten. </w:t>
      </w:r>
      <w:r w:rsidR="00C401AF">
        <w:t>Au</w:t>
      </w:r>
      <w:r w:rsidR="00C401AF">
        <w:t>s</w:t>
      </w:r>
      <w:r w:rsidR="00C401AF">
        <w:t>schlaggebend waren jedoch</w:t>
      </w:r>
      <w:r w:rsidR="008B54B6">
        <w:t xml:space="preserve"> die </w:t>
      </w:r>
      <w:r w:rsidR="00980640">
        <w:t>grundsätzliche</w:t>
      </w:r>
      <w:r w:rsidR="008B54B6">
        <w:t>n</w:t>
      </w:r>
      <w:r w:rsidR="00980640">
        <w:t xml:space="preserve"> Differenzen </w:t>
      </w:r>
      <w:r w:rsidR="008B54B6">
        <w:t>hinsichtlich</w:t>
      </w:r>
      <w:r w:rsidR="00980640">
        <w:t xml:space="preserve"> der politisch-strategischen Orientierung</w:t>
      </w:r>
      <w:r w:rsidR="008B54B6">
        <w:t>: bei der KPD speziell das Fehlen innerparteilicher Demokratie und die Abhängigkeit von Moskau</w:t>
      </w:r>
      <w:r w:rsidR="00980640">
        <w:t>. Beide Parteien repräsentierten die „Arbeiterbewegung“, und stärker als das Bürgertum wäre sie die Basis für eine Demokratisierung der Gesellschaft g</w:t>
      </w:r>
      <w:r w:rsidR="00980640">
        <w:t>e</w:t>
      </w:r>
      <w:r w:rsidR="00980640">
        <w:t xml:space="preserve">wesen. Doch diese Chancen waren verspielt worden – möglicherweise nicht erst während der Zeit der Weimarer Republik, sondern bereits </w:t>
      </w:r>
      <w:r w:rsidR="00C401AF">
        <w:t xml:space="preserve">lange </w:t>
      </w:r>
      <w:r w:rsidR="00980640">
        <w:t>vorher: mit der Zustimmung der SPD zu den Kriegskrediten bei Beginn des Ersten Weltkrieges.</w:t>
      </w:r>
      <w:r w:rsidR="008268B1">
        <w:t xml:space="preserve"> </w:t>
      </w:r>
    </w:p>
    <w:p w:rsidR="00B77631" w:rsidRDefault="00B77631" w:rsidP="003C6AE4">
      <w:pPr>
        <w:spacing w:after="0"/>
        <w:jc w:val="both"/>
      </w:pPr>
    </w:p>
    <w:p w:rsidR="00980640" w:rsidRDefault="008268B1" w:rsidP="003C6AE4">
      <w:pPr>
        <w:spacing w:after="0"/>
        <w:ind w:firstLine="708"/>
        <w:jc w:val="both"/>
      </w:pPr>
      <w:r>
        <w:t>Die</w:t>
      </w:r>
      <w:r w:rsidR="00C401AF">
        <w:t xml:space="preserve">se </w:t>
      </w:r>
      <w:r>
        <w:t xml:space="preserve">Konflikte </w:t>
      </w:r>
      <w:r w:rsidR="00C401AF">
        <w:t xml:space="preserve">brachen </w:t>
      </w:r>
      <w:r>
        <w:t>bereits in der Anfangsphase des Exils neu aus. Sie schwäc</w:t>
      </w:r>
      <w:r>
        <w:t>h</w:t>
      </w:r>
      <w:r>
        <w:t xml:space="preserve">ten die Glaubwürdigkeit des Exils und führten ihrerseits zu </w:t>
      </w:r>
      <w:r w:rsidR="00675458">
        <w:t>er</w:t>
      </w:r>
      <w:r>
        <w:t>neu</w:t>
      </w:r>
      <w:r w:rsidR="00675458">
        <w:t>t</w:t>
      </w:r>
      <w:r>
        <w:t>en, in Teilen sogar noch schwerwiegenderen Konflikten.</w:t>
      </w:r>
      <w:r w:rsidR="008B54B6">
        <w:t xml:space="preserve"> Nach außen </w:t>
      </w:r>
      <w:r w:rsidR="00D214CC">
        <w:t xml:space="preserve">hin </w:t>
      </w:r>
      <w:r w:rsidR="008B54B6">
        <w:t>wurde der Anschein einer gemeinsamen pol</w:t>
      </w:r>
      <w:r w:rsidR="008B54B6">
        <w:t>i</w:t>
      </w:r>
      <w:r w:rsidR="008B54B6">
        <w:t xml:space="preserve">tischen Zielsetzung: des Kampfes gegen die NS-Diktatur, gewahrt. Tatsächlich aber brach ein vehementer Kampf um die Meinungsführerschaft aus, den die KPD z.T. mit offenem Visier, z.T. jedoch auch mit Hilfe getarnter </w:t>
      </w:r>
      <w:r w:rsidR="00B77631">
        <w:t>publizistischer Organe und getarnter Parteimitglieder führte. Das Resultat war eine weitere Verschärfung des wechselseitigen politischen Misstra</w:t>
      </w:r>
      <w:r w:rsidR="00B77631">
        <w:t>u</w:t>
      </w:r>
      <w:r w:rsidR="00B77631">
        <w:t>ens und eine zunehmende Fragmentierung des Exils.</w:t>
      </w:r>
    </w:p>
    <w:p w:rsidR="00D214CC" w:rsidRDefault="00A223B2" w:rsidP="003C6AE4">
      <w:pPr>
        <w:widowControl w:val="0"/>
        <w:tabs>
          <w:tab w:val="left" w:pos="709"/>
        </w:tabs>
        <w:autoSpaceDE w:val="0"/>
        <w:autoSpaceDN w:val="0"/>
        <w:adjustRightInd w:val="0"/>
        <w:spacing w:after="0"/>
        <w:ind w:firstLine="709"/>
        <w:jc w:val="both"/>
      </w:pPr>
      <w:r>
        <w:t xml:space="preserve">Bezeichnend </w:t>
      </w:r>
      <w:r w:rsidR="00D214CC">
        <w:t>sind die Zweifel an der politischen Unabhängigkeit</w:t>
      </w:r>
      <w:r>
        <w:t xml:space="preserve"> der </w:t>
      </w:r>
      <w:r>
        <w:rPr>
          <w:i/>
        </w:rPr>
        <w:t xml:space="preserve">Neuen </w:t>
      </w:r>
      <w:r w:rsidRPr="00A223B2">
        <w:rPr>
          <w:i/>
        </w:rPr>
        <w:t>Weltbü</w:t>
      </w:r>
      <w:r w:rsidRPr="00A223B2">
        <w:rPr>
          <w:i/>
        </w:rPr>
        <w:t>h</w:t>
      </w:r>
      <w:r w:rsidRPr="00A223B2">
        <w:rPr>
          <w:i/>
        </w:rPr>
        <w:t>ne</w:t>
      </w:r>
      <w:r>
        <w:t>, eine</w:t>
      </w:r>
      <w:r w:rsidR="009C4DBD">
        <w:t>s</w:t>
      </w:r>
      <w:r>
        <w:t xml:space="preserve"> der zentralen Sprachrohre des Exils</w:t>
      </w:r>
      <w:r w:rsidR="00D214CC">
        <w:t>, die 1934 aufkamen</w:t>
      </w:r>
      <w:r>
        <w:t xml:space="preserve">. </w:t>
      </w:r>
      <w:r w:rsidR="009C4DBD">
        <w:t>D</w:t>
      </w:r>
      <w:r>
        <w:t>ie</w:t>
      </w:r>
      <w:r w:rsidR="00D214CC">
        <w:t xml:space="preserve"> Berliner</w:t>
      </w:r>
      <w:r>
        <w:t xml:space="preserve"> </w:t>
      </w:r>
      <w:r w:rsidR="00816BF3" w:rsidRPr="00A223B2">
        <w:rPr>
          <w:i/>
        </w:rPr>
        <w:t>Weltbühne</w:t>
      </w:r>
      <w:r w:rsidR="009C4DBD">
        <w:t>, die Zeitschrift Tucholskys und Ossietzkys,</w:t>
      </w:r>
      <w:r w:rsidR="00816BF3" w:rsidRPr="00A223B2">
        <w:rPr>
          <w:i/>
        </w:rPr>
        <w:t xml:space="preserve"> </w:t>
      </w:r>
      <w:r>
        <w:t xml:space="preserve">war aufgrund ihrer Unabhängigkeit </w:t>
      </w:r>
      <w:r w:rsidR="00D214CC">
        <w:t>so</w:t>
      </w:r>
      <w:r>
        <w:t>wie</w:t>
      </w:r>
      <w:r w:rsidR="00816BF3" w:rsidRPr="00960E31">
        <w:t xml:space="preserve"> </w:t>
      </w:r>
      <w:r>
        <w:t>der U</w:t>
      </w:r>
      <w:r>
        <w:t>n</w:t>
      </w:r>
      <w:r>
        <w:t>bestechlichkeit ihres politischen Urteils</w:t>
      </w:r>
      <w:r w:rsidR="009C4DBD">
        <w:t xml:space="preserve"> ein </w:t>
      </w:r>
      <w:r>
        <w:t>allgemein bewundert</w:t>
      </w:r>
      <w:r w:rsidR="009C4DBD">
        <w:t>es</w:t>
      </w:r>
      <w:r>
        <w:t xml:space="preserve"> </w:t>
      </w:r>
      <w:r w:rsidR="009C4DBD">
        <w:t>Publikationsorgan gew</w:t>
      </w:r>
      <w:r w:rsidR="009C4DBD">
        <w:t>e</w:t>
      </w:r>
      <w:r w:rsidR="009C4DBD">
        <w:t>sen</w:t>
      </w:r>
      <w:r>
        <w:t xml:space="preserve">. </w:t>
      </w:r>
      <w:r w:rsidR="009C4DBD">
        <w:t xml:space="preserve">Die </w:t>
      </w:r>
      <w:r w:rsidR="00D214CC">
        <w:t>Meinung</w:t>
      </w:r>
      <w:r w:rsidR="009C4DBD">
        <w:t xml:space="preserve">en, die hier </w:t>
      </w:r>
      <w:r w:rsidR="00D214CC">
        <w:t>formul</w:t>
      </w:r>
      <w:r w:rsidR="009C4DBD">
        <w:t>iert wurden, wurden nicht von allen Lesern geteilt</w:t>
      </w:r>
      <w:r w:rsidR="00D214CC">
        <w:t>; die Rezeption war durchaus kontrovers</w:t>
      </w:r>
      <w:r w:rsidR="009C4DBD">
        <w:t>. Die politische Unabhängigkeit der Zeitschrift stand j</w:t>
      </w:r>
      <w:r w:rsidR="009C4DBD">
        <w:t>e</w:t>
      </w:r>
      <w:r w:rsidR="009C4DBD">
        <w:t xml:space="preserve">doch außer Frage. </w:t>
      </w:r>
    </w:p>
    <w:p w:rsidR="00816BF3" w:rsidRPr="00960E31" w:rsidRDefault="006535D7" w:rsidP="003C6AE4">
      <w:pPr>
        <w:widowControl w:val="0"/>
        <w:tabs>
          <w:tab w:val="left" w:pos="709"/>
        </w:tabs>
        <w:autoSpaceDE w:val="0"/>
        <w:autoSpaceDN w:val="0"/>
        <w:adjustRightInd w:val="0"/>
        <w:spacing w:after="0"/>
        <w:ind w:firstLine="709"/>
        <w:jc w:val="both"/>
      </w:pPr>
      <w:r>
        <w:t xml:space="preserve">Um zu verstehen, weshalb diese Unabhängigkeit plötzlich in Zweifel gezogen wurde, </w:t>
      </w:r>
      <w:r>
        <w:lastRenderedPageBreak/>
        <w:t xml:space="preserve">ist ein Blick auf die Verlagsgeschichte erforderlich. </w:t>
      </w:r>
      <w:r w:rsidR="009C4DBD">
        <w:t xml:space="preserve">Der </w:t>
      </w:r>
      <w:r w:rsidR="00816BF3" w:rsidRPr="00960E31">
        <w:t xml:space="preserve">Herausgeber </w:t>
      </w:r>
      <w:r w:rsidR="005E4FBD">
        <w:t xml:space="preserve">der Berliner </w:t>
      </w:r>
      <w:r w:rsidR="005E4FBD" w:rsidRPr="00477296">
        <w:rPr>
          <w:i/>
        </w:rPr>
        <w:t xml:space="preserve">Weltbühne </w:t>
      </w:r>
      <w:r w:rsidR="00816BF3" w:rsidRPr="005E4FBD">
        <w:t>Carl</w:t>
      </w:r>
      <w:r w:rsidR="00816BF3" w:rsidRPr="00960E31">
        <w:t xml:space="preserve"> von Ossietzky</w:t>
      </w:r>
      <w:r w:rsidR="009C4DBD">
        <w:t xml:space="preserve"> und</w:t>
      </w:r>
      <w:r w:rsidR="00816BF3" w:rsidRPr="00960E31">
        <w:t xml:space="preserve"> </w:t>
      </w:r>
      <w:r w:rsidR="009C4DBD">
        <w:t>sein</w:t>
      </w:r>
      <w:r w:rsidR="00816BF3" w:rsidRPr="00960E31">
        <w:t xml:space="preserve"> Stellvertreter Hellmut von Gerlach</w:t>
      </w:r>
      <w:r w:rsidR="009C4DBD">
        <w:t xml:space="preserve"> hatten </w:t>
      </w:r>
      <w:r w:rsidR="007D2E90">
        <w:t>früh</w:t>
      </w:r>
      <w:r w:rsidR="009C4DBD" w:rsidRPr="00960E31">
        <w:t>zeitig</w:t>
      </w:r>
      <w:r w:rsidR="007D2E90">
        <w:t>: 1932,</w:t>
      </w:r>
      <w:r w:rsidR="009C4DBD" w:rsidRPr="00960E31">
        <w:t xml:space="preserve"> </w:t>
      </w:r>
      <w:r w:rsidR="00816BF3" w:rsidRPr="00960E31">
        <w:t xml:space="preserve">die Gefahr eines möglichen Verbots der Zeitschrift erkannt. </w:t>
      </w:r>
      <w:r w:rsidR="007D2E90">
        <w:t>Sie</w:t>
      </w:r>
      <w:r w:rsidR="00816BF3" w:rsidRPr="00960E31">
        <w:t xml:space="preserve"> hatte</w:t>
      </w:r>
      <w:r w:rsidR="009C4DBD">
        <w:t>n</w:t>
      </w:r>
      <w:r w:rsidR="00816BF3" w:rsidRPr="00960E31">
        <w:t xml:space="preserve"> deshalb dafür Sorge getr</w:t>
      </w:r>
      <w:r w:rsidR="00816BF3" w:rsidRPr="00960E31">
        <w:t>a</w:t>
      </w:r>
      <w:r w:rsidR="00816BF3" w:rsidRPr="00960E31">
        <w:t xml:space="preserve">gen, </w:t>
      </w:r>
      <w:r w:rsidR="00816BF3">
        <w:t>dass</w:t>
      </w:r>
      <w:r w:rsidR="00816BF3" w:rsidRPr="00960E31">
        <w:t xml:space="preserve"> ein organisatorisch selbständige</w:t>
      </w:r>
      <w:r w:rsidR="009C4DBD">
        <w:t>s</w:t>
      </w:r>
      <w:r w:rsidR="00816BF3" w:rsidRPr="00960E31">
        <w:t xml:space="preserve"> </w:t>
      </w:r>
      <w:r w:rsidR="009C4DBD">
        <w:t>Parallelorgan,</w:t>
      </w:r>
      <w:r w:rsidR="00816BF3" w:rsidRPr="00960E31">
        <w:t xml:space="preserve"> die </w:t>
      </w:r>
      <w:r w:rsidR="00816BF3" w:rsidRPr="009C4DBD">
        <w:rPr>
          <w:i/>
        </w:rPr>
        <w:t>Wiener Weltbühne</w:t>
      </w:r>
      <w:r w:rsidR="00816BF3" w:rsidRPr="00960E31">
        <w:t xml:space="preserve">, eingerichtet wurde. Verantwortlicher Redakteur der </w:t>
      </w:r>
      <w:r w:rsidR="00816BF3" w:rsidRPr="005E4FBD">
        <w:rPr>
          <w:i/>
        </w:rPr>
        <w:t>Wiener Weltbühne</w:t>
      </w:r>
      <w:r w:rsidR="00816BF3" w:rsidRPr="00960E31">
        <w:t xml:space="preserve"> war ein Journalist, der nach 1945 als rechtsstehender, strikt antikommunistischer Publizist eine gewisse negative Berühmtheit gewonnen hat: Willi Schlamm. Als die </w:t>
      </w:r>
      <w:r w:rsidR="005E4FBD">
        <w:t xml:space="preserve">Berliner </w:t>
      </w:r>
      <w:r w:rsidR="00816BF3" w:rsidRPr="005E4FBD">
        <w:rPr>
          <w:i/>
        </w:rPr>
        <w:t>Weltbühne</w:t>
      </w:r>
      <w:r w:rsidR="00816BF3" w:rsidRPr="00960E31">
        <w:t xml:space="preserve"> im März 1933 verboten wurde, gab es außerhalb Deutschlands also eine Auffangbastion. Die </w:t>
      </w:r>
      <w:r w:rsidR="00816BF3" w:rsidRPr="005E4FBD">
        <w:rPr>
          <w:i/>
        </w:rPr>
        <w:t>Wiener Weltbühne</w:t>
      </w:r>
      <w:r w:rsidR="00816BF3" w:rsidRPr="00960E31">
        <w:t xml:space="preserve">, die sich bald in </w:t>
      </w:r>
      <w:r w:rsidR="005E4FBD">
        <w:rPr>
          <w:i/>
        </w:rPr>
        <w:t xml:space="preserve">Die </w:t>
      </w:r>
      <w:r w:rsidR="005E4FBD" w:rsidRPr="005E4FBD">
        <w:rPr>
          <w:i/>
        </w:rPr>
        <w:t>n</w:t>
      </w:r>
      <w:r w:rsidR="00816BF3" w:rsidRPr="005E4FBD">
        <w:rPr>
          <w:i/>
        </w:rPr>
        <w:t>eue Weltbühne</w:t>
      </w:r>
      <w:r w:rsidR="00816BF3" w:rsidRPr="00960E31">
        <w:t xml:space="preserve"> umbenannte, wurde bis </w:t>
      </w:r>
      <w:r w:rsidR="008009CD">
        <w:t>zum 8.</w:t>
      </w:r>
      <w:r w:rsidR="00816BF3" w:rsidRPr="00960E31">
        <w:t xml:space="preserve"> März 1934 </w:t>
      </w:r>
      <w:r w:rsidR="008009CD">
        <w:t>von</w:t>
      </w:r>
      <w:r w:rsidR="00816BF3" w:rsidRPr="00960E31">
        <w:t xml:space="preserve"> Schlamm geleitet.</w:t>
      </w:r>
      <w:r w:rsidR="008009CD">
        <w:rPr>
          <w:rStyle w:val="Funotenzeichen"/>
        </w:rPr>
        <w:footnoteReference w:id="4"/>
      </w:r>
      <w:r w:rsidR="00816BF3" w:rsidRPr="00960E31">
        <w:t xml:space="preserve"> Dann trat </w:t>
      </w:r>
      <w:r w:rsidR="002545F0">
        <w:t xml:space="preserve">– nach dem Verkauf der </w:t>
      </w:r>
      <w:r w:rsidR="002545F0">
        <w:rPr>
          <w:i/>
        </w:rPr>
        <w:t xml:space="preserve">Weltbühne </w:t>
      </w:r>
      <w:r w:rsidR="002545F0">
        <w:t xml:space="preserve">durch Edith Jacobsohn </w:t>
      </w:r>
      <w:r w:rsidR="002545F0">
        <w:rPr>
          <w:i/>
        </w:rPr>
        <w:t xml:space="preserve">– </w:t>
      </w:r>
      <w:r w:rsidR="00816BF3" w:rsidRPr="00960E31">
        <w:t>ein neuer Chefreda</w:t>
      </w:r>
      <w:r w:rsidR="00816BF3" w:rsidRPr="00960E31">
        <w:t>k</w:t>
      </w:r>
      <w:r w:rsidR="00816BF3" w:rsidRPr="00960E31">
        <w:t xml:space="preserve">teur, Hermann </w:t>
      </w:r>
      <w:proofErr w:type="spellStart"/>
      <w:r w:rsidR="00816BF3" w:rsidRPr="00960E31">
        <w:t>Budzislawski</w:t>
      </w:r>
      <w:proofErr w:type="spellEnd"/>
      <w:r w:rsidR="00816BF3" w:rsidRPr="00960E31">
        <w:t>, an.</w:t>
      </w:r>
    </w:p>
    <w:p w:rsidR="00816BF3" w:rsidRPr="00960E31" w:rsidRDefault="00816BF3" w:rsidP="003C6AE4">
      <w:pPr>
        <w:widowControl w:val="0"/>
        <w:autoSpaceDE w:val="0"/>
        <w:autoSpaceDN w:val="0"/>
        <w:adjustRightInd w:val="0"/>
        <w:spacing w:after="0"/>
        <w:ind w:firstLine="709"/>
        <w:jc w:val="both"/>
      </w:pPr>
      <w:r w:rsidRPr="00960E31">
        <w:t xml:space="preserve">Für das Verständnis der weiteren Entwicklung ist </w:t>
      </w:r>
      <w:r w:rsidR="005E4FBD">
        <w:t>F</w:t>
      </w:r>
      <w:r w:rsidRPr="00960E31">
        <w:t xml:space="preserve">olgendes wichtig: </w:t>
      </w:r>
      <w:r w:rsidR="005E4FBD" w:rsidRPr="00960E31">
        <w:t>Schlamm war ein überaus hellsichtiger Journalist. Unter den zeitgenössischen linken Publizisten war er de</w:t>
      </w:r>
      <w:r w:rsidR="005E4FBD" w:rsidRPr="00960E31">
        <w:t>r</w:t>
      </w:r>
      <w:r w:rsidR="005E4FBD" w:rsidRPr="00960E31">
        <w:t xml:space="preserve">jenige, der das Versagen der Arbeiterparteien am entschiedensten diagnostizierte. </w:t>
      </w:r>
      <w:r w:rsidR="005E4FBD">
        <w:t xml:space="preserve">Seine </w:t>
      </w:r>
      <w:r w:rsidR="005E4FBD" w:rsidRPr="00960E31">
        <w:t>scha</w:t>
      </w:r>
      <w:r w:rsidR="005E4FBD">
        <w:t>rf</w:t>
      </w:r>
      <w:r w:rsidR="005E4FBD" w:rsidRPr="00960E31">
        <w:t>sinnig und bri</w:t>
      </w:r>
      <w:r w:rsidR="005E4FBD">
        <w:t>ll</w:t>
      </w:r>
      <w:r w:rsidR="005E4FBD" w:rsidRPr="00960E31">
        <w:t xml:space="preserve">ant formulierte Kritik war für die Arbeiterparteien, vor allem aber die KPD, deshalb besonders brisant, weil die </w:t>
      </w:r>
      <w:r w:rsidR="00577CEE">
        <w:rPr>
          <w:i/>
        </w:rPr>
        <w:t>Neue</w:t>
      </w:r>
      <w:r w:rsidR="005E4FBD" w:rsidRPr="005E4FBD">
        <w:rPr>
          <w:i/>
        </w:rPr>
        <w:t xml:space="preserve"> Weltbühne</w:t>
      </w:r>
      <w:r w:rsidR="005E4FBD" w:rsidRPr="00960E31">
        <w:t xml:space="preserve"> innerhalb des Exils zu diesem Zeitpunkt nahezu die einzige Stimme von Gewicht war. Bei allen anderen Blättern handelte es sich fast ausnahmslos um leichtgewichtige Neugründungen. Wurde in der </w:t>
      </w:r>
      <w:r w:rsidR="005E4FBD" w:rsidRPr="005E4FBD">
        <w:rPr>
          <w:i/>
        </w:rPr>
        <w:t>Neuen Weltbühne</w:t>
      </w:r>
      <w:r w:rsidR="005E4FBD" w:rsidRPr="00960E31">
        <w:t xml:space="preserve"> derartig rigoros, zudem gut begründet</w:t>
      </w:r>
      <w:r w:rsidR="005E4FBD">
        <w:t>,</w:t>
      </w:r>
      <w:r w:rsidR="005E4FBD" w:rsidRPr="00960E31">
        <w:t xml:space="preserve"> Kritik geäußert, dann drohte den Exilparteien die G</w:t>
      </w:r>
      <w:r w:rsidR="005E4FBD" w:rsidRPr="00960E31">
        <w:t>e</w:t>
      </w:r>
      <w:r w:rsidR="005E4FBD" w:rsidRPr="00960E31">
        <w:t>fahr, die politische Meinungsführerschaft zu verlieren.</w:t>
      </w:r>
      <w:r w:rsidR="005E4FBD">
        <w:t xml:space="preserve"> Von Bedeutung ist ferner, dass </w:t>
      </w:r>
      <w:r w:rsidRPr="00960E31">
        <w:t>Willi Schlamm ehemaliges KPD-Mitglied</w:t>
      </w:r>
      <w:r w:rsidR="005E4FBD" w:rsidRPr="005E4FBD">
        <w:t xml:space="preserve"> </w:t>
      </w:r>
      <w:r w:rsidR="005E4FBD" w:rsidRPr="00960E31">
        <w:t>war</w:t>
      </w:r>
      <w:r w:rsidRPr="00960E31">
        <w:t xml:space="preserve">. 1933 stand er links von der KPD, er galt als </w:t>
      </w:r>
      <w:r>
        <w:t>„</w:t>
      </w:r>
      <w:r w:rsidRPr="00960E31">
        <w:t>Trot</w:t>
      </w:r>
      <w:r w:rsidRPr="00960E31">
        <w:t>z</w:t>
      </w:r>
      <w:r w:rsidRPr="00960E31">
        <w:t>kist</w:t>
      </w:r>
      <w:r>
        <w:t>“</w:t>
      </w:r>
      <w:r w:rsidRPr="00960E31">
        <w:t xml:space="preserve">. </w:t>
      </w:r>
    </w:p>
    <w:p w:rsidR="00DC277A" w:rsidRDefault="00816BF3" w:rsidP="003C6AE4">
      <w:pPr>
        <w:widowControl w:val="0"/>
        <w:autoSpaceDE w:val="0"/>
        <w:autoSpaceDN w:val="0"/>
        <w:adjustRightInd w:val="0"/>
        <w:spacing w:after="0"/>
        <w:ind w:firstLine="709"/>
        <w:jc w:val="both"/>
      </w:pPr>
      <w:r w:rsidRPr="00960E31">
        <w:t xml:space="preserve">Die KPD reagierte schnell. Wie </w:t>
      </w:r>
      <w:r w:rsidR="005E4FBD">
        <w:t>der</w:t>
      </w:r>
      <w:r w:rsidRPr="00960E31">
        <w:t xml:space="preserve"> Enkel Hermann </w:t>
      </w:r>
      <w:proofErr w:type="spellStart"/>
      <w:r w:rsidRPr="00960E31">
        <w:t>Budzislawskis</w:t>
      </w:r>
      <w:proofErr w:type="spellEnd"/>
      <w:r w:rsidRPr="00960E31">
        <w:t xml:space="preserve">, Thomas A. </w:t>
      </w:r>
      <w:r w:rsidRPr="00960E31">
        <w:t>E</w:t>
      </w:r>
      <w:r w:rsidRPr="00960E31">
        <w:t>ckert, nachgewiesen hat,</w:t>
      </w:r>
      <w:r w:rsidR="005E4FBD">
        <w:rPr>
          <w:rStyle w:val="Funotenzeichen"/>
        </w:rPr>
        <w:footnoteReference w:id="5"/>
      </w:r>
      <w:r w:rsidRPr="00960E31">
        <w:t xml:space="preserve"> erließ sie an ihre Mitglieder ein Publikationsverbot – KPD-Mitglieder, also a</w:t>
      </w:r>
      <w:r w:rsidR="003075A1">
        <w:t>lle</w:t>
      </w:r>
      <w:r w:rsidRPr="00960E31">
        <w:t xml:space="preserve"> Schriftsteller, die Mitglied der KPD waren</w:t>
      </w:r>
      <w:r w:rsidR="003075A1">
        <w:t>,</w:t>
      </w:r>
      <w:r w:rsidRPr="00960E31">
        <w:t xml:space="preserve"> durften von diesem Zeitpunkt an nicht mehr in der </w:t>
      </w:r>
      <w:r w:rsidRPr="003075A1">
        <w:rPr>
          <w:i/>
        </w:rPr>
        <w:t>Wiener</w:t>
      </w:r>
      <w:r w:rsidRPr="00960E31">
        <w:t xml:space="preserve"> bzw. in der </w:t>
      </w:r>
      <w:r w:rsidRPr="003075A1">
        <w:rPr>
          <w:i/>
        </w:rPr>
        <w:t>Neuen Weltbühne</w:t>
      </w:r>
      <w:r w:rsidRPr="00960E31">
        <w:t xml:space="preserve"> pub</w:t>
      </w:r>
      <w:r w:rsidR="003075A1">
        <w:t>l</w:t>
      </w:r>
      <w:r w:rsidRPr="00960E31">
        <w:t xml:space="preserve">izieren. Aufgehoben wurde dieses Publikationsverbot erst, als </w:t>
      </w:r>
      <w:proofErr w:type="spellStart"/>
      <w:r w:rsidRPr="00960E31">
        <w:t>Budzislawski</w:t>
      </w:r>
      <w:proofErr w:type="spellEnd"/>
      <w:r w:rsidRPr="00960E31">
        <w:t xml:space="preserve"> Schlamm ablöste. </w:t>
      </w:r>
      <w:r w:rsidR="003075A1">
        <w:t>– F</w:t>
      </w:r>
      <w:r w:rsidRPr="00960E31">
        <w:t xml:space="preserve">ür </w:t>
      </w:r>
      <w:r w:rsidR="003075A1" w:rsidRPr="003075A1">
        <w:rPr>
          <w:i/>
        </w:rPr>
        <w:t>D</w:t>
      </w:r>
      <w:r w:rsidRPr="003075A1">
        <w:rPr>
          <w:i/>
        </w:rPr>
        <w:t>ie</w:t>
      </w:r>
      <w:r w:rsidR="003075A1" w:rsidRPr="003075A1">
        <w:rPr>
          <w:i/>
        </w:rPr>
        <w:t xml:space="preserve"> neue Weltbühne</w:t>
      </w:r>
      <w:r w:rsidRPr="00960E31">
        <w:t xml:space="preserve"> </w:t>
      </w:r>
      <w:r w:rsidR="003075A1">
        <w:t>war de</w:t>
      </w:r>
      <w:r w:rsidR="00FD764A">
        <w:t>r KPD-Boykott</w:t>
      </w:r>
      <w:r w:rsidR="003075A1">
        <w:t xml:space="preserve"> </w:t>
      </w:r>
      <w:r w:rsidRPr="00960E31">
        <w:t>natür</w:t>
      </w:r>
      <w:r w:rsidR="003075A1">
        <w:t>l</w:t>
      </w:r>
      <w:r w:rsidRPr="00960E31">
        <w:t xml:space="preserve">ich </w:t>
      </w:r>
      <w:r w:rsidR="003075A1">
        <w:t>existenzgefährdend</w:t>
      </w:r>
      <w:r w:rsidRPr="00960E31">
        <w:t xml:space="preserve">. Sie hatte </w:t>
      </w:r>
      <w:r w:rsidR="003075A1">
        <w:t>durch das Verbot aus Deutsc</w:t>
      </w:r>
      <w:r w:rsidR="003075A1">
        <w:t>h</w:t>
      </w:r>
      <w:r w:rsidR="003075A1">
        <w:t>land keine Einkünfte mehr,</w:t>
      </w:r>
      <w:r w:rsidRPr="00960E31">
        <w:t xml:space="preserve"> bewegte sich in Österreich politisch </w:t>
      </w:r>
      <w:r w:rsidR="003075A1">
        <w:t xml:space="preserve">wie finanziell </w:t>
      </w:r>
      <w:r w:rsidRPr="00960E31">
        <w:t>auf sehr uns</w:t>
      </w:r>
      <w:r w:rsidRPr="00960E31">
        <w:t>i</w:t>
      </w:r>
      <w:r w:rsidRPr="00960E31">
        <w:t>cherem Terrain und mu</w:t>
      </w:r>
      <w:r>
        <w:t>ss</w:t>
      </w:r>
      <w:r w:rsidRPr="00960E31">
        <w:t xml:space="preserve">te nun auf einen Teil der </w:t>
      </w:r>
      <w:r w:rsidRPr="003075A1">
        <w:t>meinungsbildenden</w:t>
      </w:r>
      <w:r w:rsidRPr="0012210F">
        <w:t xml:space="preserve"> </w:t>
      </w:r>
      <w:r w:rsidRPr="003075A1">
        <w:t>Mitarbeiter</w:t>
      </w:r>
      <w:r w:rsidRPr="00960E31">
        <w:t xml:space="preserve"> verzichten. Das war für ein auf </w:t>
      </w:r>
      <w:r w:rsidRPr="003075A1">
        <w:t xml:space="preserve">Diskussion </w:t>
      </w:r>
      <w:r w:rsidRPr="00960E31">
        <w:t xml:space="preserve">kontroverser </w:t>
      </w:r>
      <w:r w:rsidRPr="003075A1">
        <w:t xml:space="preserve">Positionen </w:t>
      </w:r>
      <w:r w:rsidRPr="00960E31">
        <w:t>angelegtes Blatt ein außerordentlich schwieriges Unterfangen. Es führte zu einem Verlust an Vielseitigkeit</w:t>
      </w:r>
      <w:r w:rsidR="003075A1">
        <w:t>,</w:t>
      </w:r>
      <w:r w:rsidRPr="00960E31">
        <w:t xml:space="preserve"> und dies wiederum ließ den Leserstamm schrumpfen</w:t>
      </w:r>
      <w:r w:rsidR="00FD764A">
        <w:t>.</w:t>
      </w:r>
      <w:r w:rsidRPr="00960E31">
        <w:t xml:space="preserve"> </w:t>
      </w:r>
      <w:r w:rsidR="003075A1">
        <w:t xml:space="preserve">Nach außen hin war das </w:t>
      </w:r>
      <w:r w:rsidRPr="00960E31">
        <w:t xml:space="preserve">nicht unbedingt von Nachteil: </w:t>
      </w:r>
      <w:r w:rsidRPr="003075A1">
        <w:rPr>
          <w:i/>
        </w:rPr>
        <w:t xml:space="preserve">Die </w:t>
      </w:r>
      <w:r w:rsidR="003075A1">
        <w:rPr>
          <w:i/>
        </w:rPr>
        <w:t>n</w:t>
      </w:r>
      <w:r w:rsidRPr="003075A1">
        <w:rPr>
          <w:i/>
        </w:rPr>
        <w:t>eue Weltbühne</w:t>
      </w:r>
      <w:r w:rsidRPr="00960E31">
        <w:t xml:space="preserve"> ist unter der Ägide Schlamms das bei weitem interessanteste kämpferischste Periodikum des Exils überhaupt.</w:t>
      </w:r>
      <w:r w:rsidR="003075A1">
        <w:rPr>
          <w:rStyle w:val="Funotenzeichen"/>
        </w:rPr>
        <w:footnoteReference w:id="6"/>
      </w:r>
      <w:r w:rsidRPr="00960E31">
        <w:t xml:space="preserve"> Nur</w:t>
      </w:r>
      <w:r w:rsidR="003075A1">
        <w:t>:</w:t>
      </w:r>
      <w:r w:rsidRPr="00960E31">
        <w:t xml:space="preserve"> </w:t>
      </w:r>
      <w:r w:rsidR="003075A1">
        <w:t>Sie war</w:t>
      </w:r>
      <w:r w:rsidR="00FD764A">
        <w:t xml:space="preserve"> </w:t>
      </w:r>
      <w:r w:rsidR="003075A1">
        <w:t>jetzt</w:t>
      </w:r>
      <w:r w:rsidRPr="00960E31">
        <w:t xml:space="preserve"> eine Zeitschrift für eine Minderheit i</w:t>
      </w:r>
      <w:r w:rsidRPr="00960E31">
        <w:t>n</w:t>
      </w:r>
      <w:r w:rsidRPr="00960E31">
        <w:t>nerhalb der Minderheit, damit politisch perspektivlos.</w:t>
      </w:r>
      <w:r w:rsidR="008F5C87">
        <w:t xml:space="preserve"> </w:t>
      </w:r>
      <w:r w:rsidRPr="00960E31">
        <w:t xml:space="preserve">Als </w:t>
      </w:r>
      <w:proofErr w:type="spellStart"/>
      <w:r w:rsidRPr="00960E31">
        <w:t>Budzis</w:t>
      </w:r>
      <w:r w:rsidR="003075A1">
        <w:t>l</w:t>
      </w:r>
      <w:r w:rsidRPr="00960E31">
        <w:t>awski</w:t>
      </w:r>
      <w:proofErr w:type="spellEnd"/>
      <w:r w:rsidR="00DC277A">
        <w:t xml:space="preserve">, </w:t>
      </w:r>
      <w:r w:rsidR="0012210F">
        <w:t xml:space="preserve">nominell </w:t>
      </w:r>
      <w:r w:rsidR="00DC277A">
        <w:t>ein SPD-Mitglied,</w:t>
      </w:r>
      <w:r w:rsidRPr="00960E31">
        <w:t xml:space="preserve"> die Zeitung übernahm, wurde das Spektrum der vertretenen Meinungen wieder bre</w:t>
      </w:r>
      <w:r w:rsidRPr="00960E31">
        <w:t>i</w:t>
      </w:r>
      <w:r w:rsidRPr="00960E31">
        <w:t xml:space="preserve">ter, der Mitarbeiter- und Leserkreis größer, die finanzielle Lage besser. Es gelang </w:t>
      </w:r>
      <w:proofErr w:type="spellStart"/>
      <w:r w:rsidRPr="00960E31">
        <w:t>Budzis</w:t>
      </w:r>
      <w:r w:rsidR="00DC277A">
        <w:t>l</w:t>
      </w:r>
      <w:r w:rsidRPr="00960E31">
        <w:t>a</w:t>
      </w:r>
      <w:r w:rsidRPr="00960E31">
        <w:t>wski</w:t>
      </w:r>
      <w:proofErr w:type="spellEnd"/>
      <w:r w:rsidRPr="00960E31">
        <w:t xml:space="preserve">, Heinrich Mann als ständigen (freien) Mitarbeiter fest an die </w:t>
      </w:r>
      <w:r w:rsidRPr="00DC277A">
        <w:rPr>
          <w:i/>
        </w:rPr>
        <w:t>Neue Weltbühne</w:t>
      </w:r>
      <w:r w:rsidRPr="00960E31">
        <w:t xml:space="preserve"> zu binden </w:t>
      </w:r>
      <w:r w:rsidR="00DC277A">
        <w:lastRenderedPageBreak/>
        <w:t>– e</w:t>
      </w:r>
      <w:r w:rsidRPr="00960E31">
        <w:t>in außerordentlicher Gewinn an Prestige und Autorität.</w:t>
      </w:r>
    </w:p>
    <w:p w:rsidR="00B83164" w:rsidRDefault="00DC277A" w:rsidP="003C6AE4">
      <w:pPr>
        <w:widowControl w:val="0"/>
        <w:autoSpaceDE w:val="0"/>
        <w:autoSpaceDN w:val="0"/>
        <w:adjustRightInd w:val="0"/>
        <w:spacing w:after="0"/>
        <w:ind w:firstLine="709"/>
        <w:jc w:val="both"/>
      </w:pPr>
      <w:r>
        <w:t>Mi</w:t>
      </w:r>
      <w:r w:rsidR="00816BF3" w:rsidRPr="00960E31">
        <w:t xml:space="preserve">t dem Wechsel von </w:t>
      </w:r>
      <w:r>
        <w:t>S</w:t>
      </w:r>
      <w:r w:rsidR="00816BF3" w:rsidRPr="00960E31">
        <w:t xml:space="preserve">chlamm zu </w:t>
      </w:r>
      <w:proofErr w:type="spellStart"/>
      <w:r w:rsidR="00816BF3" w:rsidRPr="00960E31">
        <w:t>Budzislawski</w:t>
      </w:r>
      <w:proofErr w:type="spellEnd"/>
      <w:r w:rsidR="00816BF3" w:rsidRPr="00960E31">
        <w:t xml:space="preserve"> hielt sich </w:t>
      </w:r>
      <w:r>
        <w:t>jedoch</w:t>
      </w:r>
      <w:r w:rsidR="00816BF3" w:rsidRPr="00960E31">
        <w:t xml:space="preserve"> unterschwellig</w:t>
      </w:r>
      <w:r>
        <w:t xml:space="preserve"> – von </w:t>
      </w:r>
      <w:r w:rsidR="00816BF3" w:rsidRPr="00960E31">
        <w:t>Willi Schlamm in die Welt gesetzt</w:t>
      </w:r>
      <w:r>
        <w:t xml:space="preserve"> – das </w:t>
      </w:r>
      <w:r w:rsidR="00816BF3" w:rsidRPr="00960E31">
        <w:t xml:space="preserve">Gerücht, die </w:t>
      </w:r>
      <w:r w:rsidR="00816BF3" w:rsidRPr="00DC277A">
        <w:rPr>
          <w:i/>
        </w:rPr>
        <w:t>Neue Weltbühne</w:t>
      </w:r>
      <w:r w:rsidR="00816BF3" w:rsidRPr="00960E31">
        <w:t xml:space="preserve"> </w:t>
      </w:r>
      <w:r>
        <w:t xml:space="preserve">sei in Wirklichkeit </w:t>
      </w:r>
      <w:r w:rsidR="00816BF3" w:rsidRPr="00960E31">
        <w:t xml:space="preserve">eine getarnte KPD-Zeitschrift sei: keine </w:t>
      </w:r>
      <w:r>
        <w:t>‚</w:t>
      </w:r>
      <w:r w:rsidR="00816BF3" w:rsidRPr="00960E31">
        <w:t>offene</w:t>
      </w:r>
      <w:r>
        <w:t>‘</w:t>
      </w:r>
      <w:r w:rsidR="00816BF3" w:rsidRPr="00960E31">
        <w:t xml:space="preserve"> KPD-Zeitschrift, denn dies hätte zu Wide</w:t>
      </w:r>
      <w:r w:rsidR="00816BF3" w:rsidRPr="00960E31">
        <w:t>r</w:t>
      </w:r>
      <w:r w:rsidR="00816BF3" w:rsidRPr="00960E31">
        <w:t xml:space="preserve">spruch </w:t>
      </w:r>
      <w:r>
        <w:t xml:space="preserve">in der Exilöffentlichkeit </w:t>
      </w:r>
      <w:r w:rsidR="00816BF3" w:rsidRPr="00960E31">
        <w:t xml:space="preserve">geführt, aber immerhin ein Periodikum, das </w:t>
      </w:r>
      <w:r>
        <w:t>– u</w:t>
      </w:r>
      <w:r w:rsidR="00816BF3" w:rsidRPr="00960E31">
        <w:t>nter dem Ma</w:t>
      </w:r>
      <w:r w:rsidR="00816BF3" w:rsidRPr="00960E31">
        <w:t>n</w:t>
      </w:r>
      <w:r w:rsidR="00816BF3" w:rsidRPr="00960E31">
        <w:t>tel scheinbarer Unabhängigkeit und Überparteilichkeit</w:t>
      </w:r>
      <w:r>
        <w:t xml:space="preserve"> – i</w:t>
      </w:r>
      <w:r w:rsidR="00816BF3" w:rsidRPr="00960E31">
        <w:t>n Wirklichkeit auf subtile Weise für die KPD und die von ihr vertretenen Positionen politisch w</w:t>
      </w:r>
      <w:r w:rsidR="00F97190">
        <w:t>e</w:t>
      </w:r>
      <w:r w:rsidR="00816BF3" w:rsidRPr="00960E31">
        <w:t>rb</w:t>
      </w:r>
      <w:r w:rsidR="00F97190">
        <w:t>e</w:t>
      </w:r>
      <w:r w:rsidR="00816BF3" w:rsidRPr="00960E31">
        <w:t xml:space="preserve">. Vieles deutet darauf hin, </w:t>
      </w:r>
      <w:r w:rsidR="00816BF3">
        <w:t>dass</w:t>
      </w:r>
      <w:r w:rsidR="00816BF3" w:rsidRPr="00960E31">
        <w:t xml:space="preserve"> die</w:t>
      </w:r>
      <w:r>
        <w:t xml:space="preserve"> KPD die </w:t>
      </w:r>
      <w:r>
        <w:rPr>
          <w:i/>
        </w:rPr>
        <w:t>Neue Weltbühne</w:t>
      </w:r>
      <w:r>
        <w:t xml:space="preserve"> </w:t>
      </w:r>
      <w:r w:rsidR="008F5C87">
        <w:t xml:space="preserve">tatsächlich </w:t>
      </w:r>
      <w:r>
        <w:t>durch einen Strohmann erworben ha</w:t>
      </w:r>
      <w:r w:rsidR="00DB77D2">
        <w:t>tt</w:t>
      </w:r>
      <w:r>
        <w:t>e</w:t>
      </w:r>
      <w:r w:rsidR="00675458">
        <w:t xml:space="preserve"> und dass </w:t>
      </w:r>
      <w:proofErr w:type="spellStart"/>
      <w:r w:rsidR="00675458">
        <w:t>Budzislawski</w:t>
      </w:r>
      <w:proofErr w:type="spellEnd"/>
      <w:r w:rsidR="00675458">
        <w:t xml:space="preserve"> durch die KPD – und nicht durch </w:t>
      </w:r>
      <w:r w:rsidR="00DB77D2">
        <w:t>d</w:t>
      </w:r>
      <w:r w:rsidR="00675458">
        <w:t xml:space="preserve">en nominellen Besitzer – eingesetzt worden </w:t>
      </w:r>
      <w:r w:rsidR="00DB77D2">
        <w:t>war</w:t>
      </w:r>
      <w:r w:rsidR="00675458">
        <w:t xml:space="preserve">. </w:t>
      </w:r>
      <w:r w:rsidR="00DB77D2">
        <w:t xml:space="preserve">Diese Meinung vertrat z.B. auch Rudolf </w:t>
      </w:r>
      <w:proofErr w:type="spellStart"/>
      <w:r w:rsidR="00DB77D2">
        <w:t>Olden</w:t>
      </w:r>
      <w:proofErr w:type="spellEnd"/>
      <w:r w:rsidR="00DB77D2">
        <w:t xml:space="preserve">, ein aufgrund seiner Unabhängigkeit hochgeschätzter Publizist und Sekretär des Exil-P.E.N.-Clubs, und zwar </w:t>
      </w:r>
      <w:r w:rsidR="00F97190">
        <w:t xml:space="preserve">gegenüber </w:t>
      </w:r>
      <w:proofErr w:type="spellStart"/>
      <w:r w:rsidR="00F97190">
        <w:t>Budzisl</w:t>
      </w:r>
      <w:r w:rsidR="00F97190">
        <w:t>a</w:t>
      </w:r>
      <w:r w:rsidR="00F97190">
        <w:t>wski</w:t>
      </w:r>
      <w:proofErr w:type="spellEnd"/>
      <w:r w:rsidR="00F97190">
        <w:t xml:space="preserve"> </w:t>
      </w:r>
      <w:r w:rsidR="00DB77D2">
        <w:t>in offener Form.</w:t>
      </w:r>
      <w:r w:rsidR="00DB77D2">
        <w:rPr>
          <w:rStyle w:val="Funotenzeichen"/>
        </w:rPr>
        <w:footnoteReference w:id="7"/>
      </w:r>
      <w:r w:rsidR="00DB77D2">
        <w:t xml:space="preserve"> </w:t>
      </w:r>
    </w:p>
    <w:p w:rsidR="00ED6551" w:rsidRDefault="00B83164" w:rsidP="003C6AE4">
      <w:pPr>
        <w:widowControl w:val="0"/>
        <w:autoSpaceDE w:val="0"/>
        <w:autoSpaceDN w:val="0"/>
        <w:adjustRightInd w:val="0"/>
        <w:spacing w:after="0"/>
        <w:ind w:firstLine="709"/>
        <w:jc w:val="both"/>
      </w:pPr>
      <w:r>
        <w:t>Es liegt auf der Hand, dass allein in einem entsprechenden Verdacht ein immenses P</w:t>
      </w:r>
      <w:r>
        <w:t>o</w:t>
      </w:r>
      <w:r>
        <w:t>tential an Misstrauen und Konflikten lag, der jedwede Form politischer Zusammenarbeit zw</w:t>
      </w:r>
      <w:r>
        <w:t>i</w:t>
      </w:r>
      <w:r>
        <w:t xml:space="preserve">schen Personen unterschiedlicher politischer Überzeugung behinderte, ja den Erfolg </w:t>
      </w:r>
      <w:r w:rsidR="00F97190">
        <w:t>nahezu unmöglich machte</w:t>
      </w:r>
      <w:r>
        <w:t xml:space="preserve">. </w:t>
      </w:r>
      <w:r w:rsidR="00F97190">
        <w:t>– H</w:t>
      </w:r>
      <w:r w:rsidR="00675F49">
        <w:t xml:space="preserve">ier wird </w:t>
      </w:r>
      <w:r>
        <w:t xml:space="preserve">dann auch </w:t>
      </w:r>
      <w:r w:rsidR="00675F49">
        <w:t xml:space="preserve">erkennbar, weshalb Tucholsky sich </w:t>
      </w:r>
      <w:r w:rsidR="00ED6551">
        <w:t xml:space="preserve">nach dem Machtantritt Hitlers </w:t>
      </w:r>
      <w:r w:rsidR="00675F49">
        <w:t xml:space="preserve">dafür entschied, sich publizistisch nicht mehr zu äußern. Gleichgültig, ob sein Urteil </w:t>
      </w:r>
      <w:r w:rsidR="00ED6551">
        <w:t xml:space="preserve">über die künftige politische Entwicklung </w:t>
      </w:r>
      <w:r w:rsidR="00675F49">
        <w:t xml:space="preserve">richtiger war als das der Mehrheit </w:t>
      </w:r>
      <w:r w:rsidR="00ED6551">
        <w:t>bzw.</w:t>
      </w:r>
      <w:r w:rsidR="00675F49">
        <w:t xml:space="preserve"> – wenn auch in anderer Form – ebenso irrig: </w:t>
      </w:r>
      <w:r w:rsidR="00ED6551">
        <w:t>Der Situation angemessen</w:t>
      </w:r>
      <w:r w:rsidR="00675F49">
        <w:t xml:space="preserve"> war seine </w:t>
      </w:r>
      <w:r w:rsidR="00ED6551">
        <w:t>Auffassun</w:t>
      </w:r>
      <w:r w:rsidR="00675F49">
        <w:t>g, dass Versuche, durch Aufklärung und Information des Auslandes die politische Situation in Deutschland zu verändern, mit Sicherheit scheitern würden. Ein solches Scheitern aber würde nicht nur auf jeden Einzelnen und sein Befinden Rückwirkungen haben, sondern auch die Gesamtheit der Exilanten tangieren</w:t>
      </w:r>
      <w:r w:rsidR="00ED6551">
        <w:t>, also</w:t>
      </w:r>
      <w:r w:rsidR="00675F49">
        <w:t xml:space="preserve"> dem Anliegen des Exils insgesamt schaden. </w:t>
      </w:r>
      <w:r w:rsidR="002150D1">
        <w:t xml:space="preserve">Aus diesem Grund entschied er sich für das Schweigen. </w:t>
      </w:r>
    </w:p>
    <w:p w:rsidR="008003A8" w:rsidRDefault="00B83164" w:rsidP="003C6AE4">
      <w:pPr>
        <w:widowControl w:val="0"/>
        <w:autoSpaceDE w:val="0"/>
        <w:autoSpaceDN w:val="0"/>
        <w:adjustRightInd w:val="0"/>
        <w:spacing w:after="0"/>
        <w:ind w:firstLine="709"/>
        <w:jc w:val="both"/>
      </w:pPr>
      <w:r>
        <w:t>Der Versuch, vom Exil aus mit Hilfe von Publizistik und Literatur Einfluss auf die p</w:t>
      </w:r>
      <w:r>
        <w:t>o</w:t>
      </w:r>
      <w:r>
        <w:t xml:space="preserve">litische Entwicklung zu nehmen, war ohnehin mehr als problematisch. </w:t>
      </w:r>
      <w:r w:rsidR="002150D1">
        <w:t xml:space="preserve">Tucholsky hatte bei seinem Entschluss sicherlich auch vor Augen, </w:t>
      </w:r>
      <w:r w:rsidR="00526659">
        <w:t>dass</w:t>
      </w:r>
      <w:r w:rsidR="002150D1">
        <w:t xml:space="preserve"> </w:t>
      </w:r>
      <w:r w:rsidR="008003A8">
        <w:t>bereit</w:t>
      </w:r>
      <w:r w:rsidR="00ED6551">
        <w:t>s</w:t>
      </w:r>
      <w:r w:rsidR="008003A8">
        <w:t xml:space="preserve"> </w:t>
      </w:r>
      <w:r w:rsidR="002150D1">
        <w:t>sein</w:t>
      </w:r>
      <w:r w:rsidR="00526659">
        <w:t>e</w:t>
      </w:r>
      <w:r w:rsidR="002150D1">
        <w:t xml:space="preserve"> Freund</w:t>
      </w:r>
      <w:r w:rsidR="008003A8">
        <w:t>e</w:t>
      </w:r>
      <w:r w:rsidR="002150D1">
        <w:t xml:space="preserve"> </w:t>
      </w:r>
      <w:r w:rsidR="00857D95">
        <w:t xml:space="preserve">Ernst Toller </w:t>
      </w:r>
      <w:r w:rsidR="00ED6551">
        <w:t>– m</w:t>
      </w:r>
      <w:r w:rsidR="00857D95">
        <w:t xml:space="preserve">it der Komödie </w:t>
      </w:r>
      <w:r w:rsidR="00857D95">
        <w:rPr>
          <w:i/>
        </w:rPr>
        <w:t xml:space="preserve">Der entfesselte </w:t>
      </w:r>
      <w:r w:rsidR="00857D95" w:rsidRPr="00857D95">
        <w:t>Wotan</w:t>
      </w:r>
      <w:r w:rsidR="00857D95">
        <w:t xml:space="preserve"> </w:t>
      </w:r>
      <w:r w:rsidR="00ED6551">
        <w:t>(</w:t>
      </w:r>
      <w:r w:rsidR="00857D95">
        <w:t>1923</w:t>
      </w:r>
      <w:r w:rsidR="00ED6551">
        <w:t>) – u</w:t>
      </w:r>
      <w:r w:rsidR="00526659">
        <w:t>nd</w:t>
      </w:r>
      <w:r w:rsidR="00857D95">
        <w:t xml:space="preserve"> </w:t>
      </w:r>
      <w:r w:rsidR="002150D1" w:rsidRPr="00857D95">
        <w:t>Walter</w:t>
      </w:r>
      <w:r w:rsidR="002150D1">
        <w:t xml:space="preserve"> Hasenclever </w:t>
      </w:r>
      <w:r w:rsidR="00ED6551">
        <w:t>– m</w:t>
      </w:r>
      <w:r w:rsidR="002150D1">
        <w:t xml:space="preserve">it </w:t>
      </w:r>
      <w:r w:rsidR="002150D1" w:rsidRPr="00A36018">
        <w:rPr>
          <w:i/>
        </w:rPr>
        <w:t>Napoleon greift ein</w:t>
      </w:r>
      <w:r w:rsidR="002150D1">
        <w:rPr>
          <w:i/>
        </w:rPr>
        <w:t xml:space="preserve"> </w:t>
      </w:r>
      <w:r w:rsidR="00ED6551">
        <w:t>(</w:t>
      </w:r>
      <w:r w:rsidR="002150D1">
        <w:t>1928/29)</w:t>
      </w:r>
      <w:r w:rsidR="00857D95">
        <w:t xml:space="preserve"> </w:t>
      </w:r>
      <w:r w:rsidR="00ED6551">
        <w:t>– v</w:t>
      </w:r>
      <w:r w:rsidR="00526659">
        <w:t xml:space="preserve">ersucht hatten, </w:t>
      </w:r>
      <w:r w:rsidR="008003A8">
        <w:t>mit literarischen Mitteln: mit Hilfe zweier von ihrer Thematik her sehr wirkungskräftigen Komödien</w:t>
      </w:r>
      <w:r w:rsidR="00ED6551">
        <w:t>,</w:t>
      </w:r>
      <w:r w:rsidR="008003A8">
        <w:t xml:space="preserve"> v</w:t>
      </w:r>
      <w:r w:rsidR="00526659">
        <w:t>or den Gefahren eines „Propheten in deutscher Kr</w:t>
      </w:r>
      <w:r w:rsidR="00526659">
        <w:t>i</w:t>
      </w:r>
      <w:r w:rsidR="00526659">
        <w:t>se“</w:t>
      </w:r>
      <w:r w:rsidR="00ED6551">
        <w:t>, so eine Formulierung</w:t>
      </w:r>
      <w:r w:rsidR="00526659">
        <w:t xml:space="preserve"> Rudolf </w:t>
      </w:r>
      <w:proofErr w:type="spellStart"/>
      <w:r w:rsidR="00526659">
        <w:t>Olden</w:t>
      </w:r>
      <w:r w:rsidR="00577CEE">
        <w:t>s</w:t>
      </w:r>
      <w:proofErr w:type="spellEnd"/>
      <w:r w:rsidR="00526659">
        <w:rPr>
          <w:rStyle w:val="Funotenzeichen"/>
        </w:rPr>
        <w:footnoteReference w:id="8"/>
      </w:r>
      <w:r w:rsidR="008003A8">
        <w:t>, also vor der Gefahr eines populistischen Diktators,</w:t>
      </w:r>
      <w:r w:rsidR="00526659">
        <w:t xml:space="preserve"> zu warnen</w:t>
      </w:r>
      <w:r w:rsidR="008003A8" w:rsidRPr="008003A8">
        <w:t xml:space="preserve"> </w:t>
      </w:r>
      <w:r w:rsidR="008003A8">
        <w:t>– beide ohne nennenswerten Erfolg</w:t>
      </w:r>
      <w:r w:rsidR="00526659">
        <w:t>.</w:t>
      </w:r>
    </w:p>
    <w:p w:rsidR="008268B1" w:rsidRDefault="008268B1" w:rsidP="003C6AE4">
      <w:pPr>
        <w:widowControl w:val="0"/>
        <w:autoSpaceDE w:val="0"/>
        <w:autoSpaceDN w:val="0"/>
        <w:adjustRightInd w:val="0"/>
        <w:spacing w:after="0"/>
        <w:ind w:firstLine="709"/>
        <w:jc w:val="both"/>
      </w:pPr>
    </w:p>
    <w:p w:rsidR="008003A8" w:rsidRPr="0016325F" w:rsidRDefault="00603B1A" w:rsidP="003C6AE4">
      <w:pPr>
        <w:widowControl w:val="0"/>
        <w:autoSpaceDE w:val="0"/>
        <w:autoSpaceDN w:val="0"/>
        <w:adjustRightInd w:val="0"/>
        <w:spacing w:after="0"/>
        <w:ind w:firstLine="709"/>
        <w:jc w:val="both"/>
      </w:pPr>
      <w:r>
        <w:t>In dem gleichen Maße, wie die Gründung der deutschsprachigen Abteilungen der Ve</w:t>
      </w:r>
      <w:r>
        <w:t>r</w:t>
      </w:r>
      <w:r>
        <w:t xml:space="preserve">lage </w:t>
      </w:r>
      <w:proofErr w:type="spellStart"/>
      <w:r>
        <w:t>Querido</w:t>
      </w:r>
      <w:proofErr w:type="spellEnd"/>
      <w:r>
        <w:t xml:space="preserve"> und </w:t>
      </w:r>
      <w:proofErr w:type="spellStart"/>
      <w:r>
        <w:t>Allert</w:t>
      </w:r>
      <w:proofErr w:type="spellEnd"/>
      <w:r>
        <w:t xml:space="preserve"> de Lange für die Entwicklung der Belletristik von entscheidender Bedeutung war, trifft dies für die politisch-propagandistische Literatur auf die </w:t>
      </w:r>
      <w:proofErr w:type="spellStart"/>
      <w:r>
        <w:t>Éditions</w:t>
      </w:r>
      <w:proofErr w:type="spellEnd"/>
      <w:r>
        <w:t xml:space="preserve"> du Carrefour zu, den in Paris ansässigen deutschsprachigen Verlag der KPD. Der Initiator dieser </w:t>
      </w:r>
      <w:r>
        <w:lastRenderedPageBreak/>
        <w:t>Verlagsgründung – im Prinzip wurde nur der Name eines bereits bestehenden Verlages auf den neuen Inhaber übertragen – war Willi Münzenberg</w:t>
      </w:r>
      <w:r w:rsidR="00024094">
        <w:t xml:space="preserve">, der Chef des Westeuropäischen Büros der Komintern und erfolgreiche Mittler zwischen KPD und der ‚Linksintelligenz‘. </w:t>
      </w:r>
      <w:r w:rsidR="00577CEE">
        <w:t xml:space="preserve">In den </w:t>
      </w:r>
      <w:proofErr w:type="spellStart"/>
      <w:r w:rsidR="00577CEE">
        <w:t>Éd</w:t>
      </w:r>
      <w:r w:rsidR="00577CEE">
        <w:t>i</w:t>
      </w:r>
      <w:r w:rsidR="00577CEE">
        <w:t>tions</w:t>
      </w:r>
      <w:proofErr w:type="spellEnd"/>
      <w:r w:rsidR="00577CEE">
        <w:t xml:space="preserve"> du Carrefour und den z.T. unter anderem Namen fungierenden Dependancen</w:t>
      </w:r>
      <w:r w:rsidR="0005682D">
        <w:t xml:space="preserve"> erschienen Propagandaschriften, die Furore machten, insbesondere das </w:t>
      </w:r>
      <w:r w:rsidR="00577CEE">
        <w:t xml:space="preserve">noch </w:t>
      </w:r>
      <w:r w:rsidR="0005682D">
        <w:t xml:space="preserve">heute legendäre </w:t>
      </w:r>
      <w:r w:rsidR="0005682D">
        <w:rPr>
          <w:i/>
        </w:rPr>
        <w:t xml:space="preserve">Braunbuch über Reichstagsbrand und Hitlerterror </w:t>
      </w:r>
      <w:r w:rsidR="0005682D">
        <w:t>– es wurde am 1. August 1933 ausgeliefert</w:t>
      </w:r>
      <w:r w:rsidR="0005682D">
        <w:rPr>
          <w:rStyle w:val="Funotenzeichen"/>
        </w:rPr>
        <w:footnoteReference w:id="9"/>
      </w:r>
      <w:r w:rsidR="0016325F">
        <w:t xml:space="preserve"> </w:t>
      </w:r>
      <w:r w:rsidR="00577CEE">
        <w:t xml:space="preserve">–, </w:t>
      </w:r>
      <w:r w:rsidR="0016325F">
        <w:t xml:space="preserve">das </w:t>
      </w:r>
      <w:r w:rsidR="0016325F">
        <w:rPr>
          <w:i/>
        </w:rPr>
        <w:t xml:space="preserve">Braunbuch II: </w:t>
      </w:r>
      <w:proofErr w:type="spellStart"/>
      <w:r w:rsidR="0016325F">
        <w:rPr>
          <w:i/>
        </w:rPr>
        <w:t>Dimitroff</w:t>
      </w:r>
      <w:proofErr w:type="spellEnd"/>
      <w:r w:rsidR="0016325F">
        <w:rPr>
          <w:i/>
        </w:rPr>
        <w:t xml:space="preserve"> contra Goering. Enthüllungen über die wahren Brandstifter</w:t>
      </w:r>
      <w:r w:rsidR="0016325F">
        <w:t xml:space="preserve"> (1934) </w:t>
      </w:r>
      <w:r w:rsidR="00577CEE">
        <w:t>sowie</w:t>
      </w:r>
      <w:r w:rsidR="0016325F">
        <w:t xml:space="preserve"> </w:t>
      </w:r>
      <w:r w:rsidR="0016325F">
        <w:rPr>
          <w:i/>
        </w:rPr>
        <w:t xml:space="preserve">Hitler treibt zum Krieg. Dokumentarische Enthüllungen über Hitlers Geheimrüstungen </w:t>
      </w:r>
      <w:r w:rsidR="0016325F">
        <w:t>(1</w:t>
      </w:r>
      <w:r w:rsidR="00577CEE">
        <w:t>9</w:t>
      </w:r>
      <w:r w:rsidR="0016325F">
        <w:t>34).</w:t>
      </w:r>
    </w:p>
    <w:p w:rsidR="005D6353" w:rsidRPr="004F4861" w:rsidRDefault="0016325F" w:rsidP="003C6AE4">
      <w:pPr>
        <w:spacing w:after="0"/>
        <w:jc w:val="both"/>
        <w:rPr>
          <w:i/>
        </w:rPr>
      </w:pPr>
      <w:r>
        <w:tab/>
        <w:t xml:space="preserve">Das </w:t>
      </w:r>
      <w:r>
        <w:rPr>
          <w:i/>
        </w:rPr>
        <w:t>Braunbuch über Reichstagsbrand und Hitlerterror</w:t>
      </w:r>
      <w:r>
        <w:t xml:space="preserve"> gliedert sich in 12 Kapitel</w:t>
      </w:r>
      <w:r w:rsidR="00577CEE">
        <w:t>. S</w:t>
      </w:r>
      <w:r>
        <w:t xml:space="preserve">ie </w:t>
      </w:r>
      <w:r w:rsidR="00577CEE">
        <w:t xml:space="preserve">schlagen </w:t>
      </w:r>
      <w:r>
        <w:t>einen Bogen vom Aufstieg Hitlers und der NSDAP – das Anfangskapitel trägt die Überschrift „</w:t>
      </w:r>
      <w:r w:rsidRPr="001D071D">
        <w:rPr>
          <w:i/>
        </w:rPr>
        <w:t>Der Weg zur Macht“</w:t>
      </w:r>
      <w:r w:rsidR="00FE1BCC">
        <w:rPr>
          <w:i/>
        </w:rPr>
        <w:t xml:space="preserve"> </w:t>
      </w:r>
      <w:r w:rsidR="00FE1BCC">
        <w:t>– zu</w:t>
      </w:r>
      <w:r w:rsidR="004F4861">
        <w:t>m Terror der ersten Jahreshälfte 1933. Speziell dieser Aspekt schlägt sich in</w:t>
      </w:r>
      <w:r w:rsidR="00FE1BCC">
        <w:t xml:space="preserve"> den Kapiteln </w:t>
      </w:r>
      <w:r w:rsidR="004F4861">
        <w:t xml:space="preserve">5 bis 10 nieder: </w:t>
      </w:r>
      <w:r w:rsidR="00FE1BCC">
        <w:t>„</w:t>
      </w:r>
      <w:r w:rsidR="00FE1BCC" w:rsidRPr="001D071D">
        <w:rPr>
          <w:i/>
        </w:rPr>
        <w:t>Zerstörung der legalen Arbeiterorgan</w:t>
      </w:r>
      <w:r w:rsidR="00FE1BCC" w:rsidRPr="001D071D">
        <w:rPr>
          <w:i/>
        </w:rPr>
        <w:t>i</w:t>
      </w:r>
      <w:r w:rsidR="00FE1BCC" w:rsidRPr="001D071D">
        <w:rPr>
          <w:i/>
        </w:rPr>
        <w:t>sationen“, „Der Vernichtungsfeldzug gegen die Kultur“, „Misshandlungen und Folteru</w:t>
      </w:r>
      <w:r w:rsidR="00FE1BCC" w:rsidRPr="001D071D">
        <w:rPr>
          <w:i/>
        </w:rPr>
        <w:t>n</w:t>
      </w:r>
      <w:r w:rsidR="00FE1BCC" w:rsidRPr="001D071D">
        <w:rPr>
          <w:i/>
        </w:rPr>
        <w:t>gen</w:t>
      </w:r>
      <w:r w:rsidR="00FE1BCC" w:rsidRPr="001D071D">
        <w:t xml:space="preserve">“, </w:t>
      </w:r>
      <w:r w:rsidR="00FE1BCC" w:rsidRPr="00FE1BCC">
        <w:rPr>
          <w:i/>
        </w:rPr>
        <w:t>„Die Judenverfolgungen in Hitlerdeutschland“,</w:t>
      </w:r>
      <w:r w:rsidR="00FE1BCC" w:rsidRPr="001D071D">
        <w:rPr>
          <w:i/>
        </w:rPr>
        <w:t xml:space="preserve"> „Vierzigtausend Männer und Frauen in Konzentrationslagern“</w:t>
      </w:r>
      <w:r w:rsidR="00FE1BCC">
        <w:rPr>
          <w:i/>
        </w:rPr>
        <w:t xml:space="preserve"> </w:t>
      </w:r>
      <w:r w:rsidR="00FE1BCC" w:rsidRPr="00FE1BCC">
        <w:t>und</w:t>
      </w:r>
      <w:r w:rsidR="00FE1BCC" w:rsidRPr="001D071D">
        <w:rPr>
          <w:i/>
        </w:rPr>
        <w:t xml:space="preserve"> „Mord“</w:t>
      </w:r>
      <w:r w:rsidR="00FE1BCC">
        <w:t xml:space="preserve">. Den Schluss bilden die Kapitel </w:t>
      </w:r>
      <w:r w:rsidR="00FE1BCC" w:rsidRPr="001D071D">
        <w:rPr>
          <w:i/>
        </w:rPr>
        <w:t>„Mordliste des ‚Dri</w:t>
      </w:r>
      <w:r w:rsidR="00FE1BCC" w:rsidRPr="001D071D">
        <w:rPr>
          <w:i/>
        </w:rPr>
        <w:t>t</w:t>
      </w:r>
      <w:r w:rsidR="00FE1BCC" w:rsidRPr="001D071D">
        <w:rPr>
          <w:i/>
        </w:rPr>
        <w:t xml:space="preserve">ten Reiches‘“, „Die Welt lässt sich nicht belügen“ </w:t>
      </w:r>
      <w:r w:rsidR="00FE1BCC">
        <w:rPr>
          <w:i/>
        </w:rPr>
        <w:t xml:space="preserve">– </w:t>
      </w:r>
      <w:r w:rsidR="00FE1BCC" w:rsidRPr="00FE1BCC">
        <w:t>dieses</w:t>
      </w:r>
      <w:r w:rsidR="00FE1BCC">
        <w:rPr>
          <w:i/>
        </w:rPr>
        <w:t xml:space="preserve"> </w:t>
      </w:r>
      <w:r w:rsidR="00FE1BCC">
        <w:t>Kapitel enthält Stimmen prom</w:t>
      </w:r>
      <w:r w:rsidR="00FE1BCC">
        <w:t>i</w:t>
      </w:r>
      <w:r w:rsidR="00FE1BCC">
        <w:t xml:space="preserve">nenter Ausländer: von Sherwood Anderson, Martin Andersen </w:t>
      </w:r>
      <w:proofErr w:type="spellStart"/>
      <w:r w:rsidR="00FE1BCC">
        <w:t>Nexö</w:t>
      </w:r>
      <w:proofErr w:type="spellEnd"/>
      <w:r w:rsidR="00FE1BCC">
        <w:t xml:space="preserve">, Henri Barbusse, André Gide, Michael Gold, Romain Rolland, Ellen Wilkinson u.a. – und </w:t>
      </w:r>
      <w:r w:rsidR="00FE1BCC" w:rsidRPr="001D071D">
        <w:rPr>
          <w:i/>
        </w:rPr>
        <w:t>„Der heroische Kampf der deutschen Arbeiter“.</w:t>
      </w:r>
      <w:r w:rsidR="00FE1BCC">
        <w:t xml:space="preserve"> Das spektakuläre Zentrum </w:t>
      </w:r>
      <w:r w:rsidR="004F4861">
        <w:t xml:space="preserve">des </w:t>
      </w:r>
      <w:r w:rsidR="004F4861">
        <w:rPr>
          <w:i/>
        </w:rPr>
        <w:t xml:space="preserve">Braunbuches </w:t>
      </w:r>
      <w:r w:rsidR="00FE1BCC">
        <w:t>bilden die Kapitel 2 bis 4: „</w:t>
      </w:r>
      <w:r w:rsidR="00FE1BCC" w:rsidRPr="001D071D">
        <w:rPr>
          <w:i/>
        </w:rPr>
        <w:t>Der Reichstag muss brennen!“</w:t>
      </w:r>
      <w:r w:rsidR="00FE1BCC">
        <w:t xml:space="preserve"> mit den Teilkapiteln </w:t>
      </w:r>
      <w:r w:rsidR="00FE1BCC" w:rsidRPr="003B7732">
        <w:rPr>
          <w:i/>
        </w:rPr>
        <w:t>„Der</w:t>
      </w:r>
      <w:r w:rsidR="00FE1BCC">
        <w:t xml:space="preserve"> </w:t>
      </w:r>
      <w:r w:rsidR="00FE1BCC" w:rsidRPr="003B7732">
        <w:rPr>
          <w:i/>
        </w:rPr>
        <w:t>Osthilfe-Skandal“, „Die Welle des Widerstands steigt“</w:t>
      </w:r>
      <w:r w:rsidR="00FE1BCC">
        <w:t xml:space="preserve"> und </w:t>
      </w:r>
      <w:r w:rsidR="00FE1BCC" w:rsidRPr="003B7732">
        <w:rPr>
          <w:i/>
        </w:rPr>
        <w:t>„Der Zwang zur Provokation“</w:t>
      </w:r>
      <w:r w:rsidR="00FE1BCC">
        <w:t xml:space="preserve"> sowie die Kapitel </w:t>
      </w:r>
      <w:r w:rsidR="00FE1BCC" w:rsidRPr="001D071D">
        <w:rPr>
          <w:i/>
        </w:rPr>
        <w:t xml:space="preserve">„Van der </w:t>
      </w:r>
      <w:proofErr w:type="spellStart"/>
      <w:r w:rsidR="00FE1BCC" w:rsidRPr="001D071D">
        <w:rPr>
          <w:i/>
        </w:rPr>
        <w:t>Lubbe</w:t>
      </w:r>
      <w:proofErr w:type="spellEnd"/>
      <w:r w:rsidR="00FE1BCC" w:rsidRPr="001D071D">
        <w:rPr>
          <w:i/>
        </w:rPr>
        <w:t>, das Werkzeug“</w:t>
      </w:r>
      <w:r w:rsidR="00FE1BCC">
        <w:rPr>
          <w:i/>
        </w:rPr>
        <w:t xml:space="preserve"> und</w:t>
      </w:r>
      <w:r w:rsidR="00FE1BCC">
        <w:t xml:space="preserve"> </w:t>
      </w:r>
      <w:r w:rsidR="00FE1BCC" w:rsidRPr="001D071D">
        <w:rPr>
          <w:i/>
        </w:rPr>
        <w:t>„Die wahren Brandstifter“</w:t>
      </w:r>
      <w:r w:rsidR="00FE1BCC">
        <w:t xml:space="preserve"> </w:t>
      </w:r>
      <w:r w:rsidR="004F4861">
        <w:t>mit den Teil</w:t>
      </w:r>
      <w:r w:rsidR="00FE1BCC">
        <w:t>kapitel</w:t>
      </w:r>
      <w:r w:rsidR="004F4861">
        <w:t>n</w:t>
      </w:r>
      <w:r w:rsidR="00FE1BCC">
        <w:t xml:space="preserve"> </w:t>
      </w:r>
      <w:r w:rsidR="00FE1BCC" w:rsidRPr="004F4861">
        <w:rPr>
          <w:i/>
        </w:rPr>
        <w:t>„Der strategische Stüt</w:t>
      </w:r>
      <w:r w:rsidR="00FE1BCC" w:rsidRPr="004F4861">
        <w:rPr>
          <w:i/>
        </w:rPr>
        <w:t>z</w:t>
      </w:r>
      <w:r w:rsidR="00FE1BCC" w:rsidRPr="004F4861">
        <w:rPr>
          <w:i/>
        </w:rPr>
        <w:t>punkt der Brandstifter“</w:t>
      </w:r>
      <w:r w:rsidR="004F4861">
        <w:t xml:space="preserve"> und</w:t>
      </w:r>
      <w:r w:rsidR="00FE1BCC">
        <w:t xml:space="preserve"> </w:t>
      </w:r>
      <w:r w:rsidR="00FE1BCC" w:rsidRPr="004F4861">
        <w:rPr>
          <w:i/>
        </w:rPr>
        <w:t>„Wie wurde das Brandmaterial in den Reichstag gebracht?“</w:t>
      </w:r>
    </w:p>
    <w:p w:rsidR="00B4307F" w:rsidRDefault="004F4861" w:rsidP="003C6AE4">
      <w:pPr>
        <w:spacing w:after="0"/>
        <w:jc w:val="both"/>
      </w:pPr>
      <w:r>
        <w:tab/>
        <w:t>Babette Gross, als Lebensgefährtin Willi Münzenbergs und verantwortliche Verlag</w:t>
      </w:r>
      <w:r>
        <w:t>s</w:t>
      </w:r>
      <w:r>
        <w:t xml:space="preserve">leiterin mit der Entstehung des </w:t>
      </w:r>
      <w:r>
        <w:rPr>
          <w:i/>
        </w:rPr>
        <w:t>Braunbuchs</w:t>
      </w:r>
      <w:r>
        <w:t xml:space="preserve"> bestens vertraut, hebt hervor, dass das Buch „Werkzeug gezielter Propaganda“ gewesen und </w:t>
      </w:r>
      <w:r w:rsidR="00B4307F">
        <w:t>„</w:t>
      </w:r>
      <w:proofErr w:type="spellStart"/>
      <w:r>
        <w:t>bewußt</w:t>
      </w:r>
      <w:proofErr w:type="spellEnd"/>
      <w:r>
        <w:t xml:space="preserve"> unter diesem Gesichtspunkt zusa</w:t>
      </w:r>
      <w:r>
        <w:t>m</w:t>
      </w:r>
      <w:r>
        <w:t>mengestellt“</w:t>
      </w:r>
      <w:r w:rsidR="00B4307F">
        <w:t xml:space="preserve"> worden sei.</w:t>
      </w:r>
      <w:r w:rsidR="00B4307F">
        <w:rPr>
          <w:rStyle w:val="Funotenzeichen"/>
        </w:rPr>
        <w:footnoteReference w:id="10"/>
      </w:r>
      <w:r>
        <w:t xml:space="preserve"> </w:t>
      </w:r>
      <w:r w:rsidR="00B4307F">
        <w:t>Sie betont allerdings zugleich den Zwang zu möglichst großer Fa</w:t>
      </w:r>
      <w:r w:rsidR="00B4307F">
        <w:t>k</w:t>
      </w:r>
      <w:r w:rsidR="00B4307F">
        <w:t>tentreue:</w:t>
      </w:r>
      <w:r>
        <w:t xml:space="preserve"> „M</w:t>
      </w:r>
      <w:r w:rsidR="00B4307F">
        <w:t>ünzenberg</w:t>
      </w:r>
      <w:r>
        <w:t xml:space="preserve"> und seine Mitarbeiter </w:t>
      </w:r>
      <w:proofErr w:type="spellStart"/>
      <w:r>
        <w:t>mußten</w:t>
      </w:r>
      <w:proofErr w:type="spellEnd"/>
      <w:r>
        <w:t xml:space="preserve"> schon deshalb versuchen, nahe bei den Fakten zu bleiben und möglichst konkrete Informationen zu liefern, </w:t>
      </w:r>
      <w:r w:rsidRPr="00B4307F">
        <w:rPr>
          <w:i/>
        </w:rPr>
        <w:t>weil sie auf die Wirkung der dokumentarischen Evidenz setzten.“</w:t>
      </w:r>
      <w:r w:rsidR="00B4307F" w:rsidRPr="00B4307F">
        <w:rPr>
          <w:rStyle w:val="Funotenzeichen"/>
        </w:rPr>
        <w:footnoteReference w:id="11"/>
      </w:r>
      <w:r w:rsidRPr="00B4307F">
        <w:t xml:space="preserve"> </w:t>
      </w:r>
      <w:r w:rsidR="00B4307F">
        <w:t xml:space="preserve">Auf den ersten Blick scheinen </w:t>
      </w:r>
      <w:r w:rsidR="00093EF1">
        <w:t xml:space="preserve">die </w:t>
      </w:r>
      <w:r w:rsidR="003B7732">
        <w:t>‚</w:t>
      </w:r>
      <w:r w:rsidR="00B4307F">
        <w:t>propagandist</w:t>
      </w:r>
      <w:r w:rsidR="00B4307F">
        <w:t>i</w:t>
      </w:r>
      <w:r w:rsidR="00B4307F">
        <w:t>sche Anlage</w:t>
      </w:r>
      <w:r w:rsidR="003B7732">
        <w:t>‘</w:t>
      </w:r>
      <w:r w:rsidR="00B4307F">
        <w:t xml:space="preserve"> </w:t>
      </w:r>
      <w:r w:rsidR="00093EF1">
        <w:t xml:space="preserve">und das Bemühen um </w:t>
      </w:r>
      <w:r w:rsidR="003B7732">
        <w:t>‚</w:t>
      </w:r>
      <w:r w:rsidR="00093EF1">
        <w:t>Faktentreue</w:t>
      </w:r>
      <w:r w:rsidR="003B7732">
        <w:t>‘</w:t>
      </w:r>
      <w:r w:rsidR="00093EF1">
        <w:t xml:space="preserve"> zueinander im Widerspruch zu stehen. </w:t>
      </w:r>
      <w:r w:rsidR="00577CEE">
        <w:t>B</w:t>
      </w:r>
      <w:r w:rsidR="00577CEE">
        <w:t>a</w:t>
      </w:r>
      <w:r w:rsidR="00577CEE">
        <w:t>bette Gross</w:t>
      </w:r>
      <w:r w:rsidR="00093EF1">
        <w:t xml:space="preserve"> löst den Widerspruch </w:t>
      </w:r>
      <w:r w:rsidR="00577CEE">
        <w:t>auf</w:t>
      </w:r>
      <w:r w:rsidR="00093EF1">
        <w:t xml:space="preserve">, </w:t>
      </w:r>
      <w:r w:rsidR="00717C97">
        <w:t>indem</w:t>
      </w:r>
      <w:r w:rsidR="00093EF1">
        <w:t xml:space="preserve"> sie hervorhebt, </w:t>
      </w:r>
      <w:r w:rsidR="00B4307F">
        <w:t>dass die Weltöffentlichkeit seit dem Tage der Brandstiftung dieselben Fragen stellte</w:t>
      </w:r>
      <w:r w:rsidR="00093EF1">
        <w:t xml:space="preserve"> wie die Autoren des </w:t>
      </w:r>
      <w:r w:rsidR="00093EF1" w:rsidRPr="003D2278">
        <w:rPr>
          <w:i/>
        </w:rPr>
        <w:t>Braunbuches</w:t>
      </w:r>
      <w:r w:rsidR="00093EF1">
        <w:t xml:space="preserve">: </w:t>
      </w:r>
      <w:r w:rsidR="00B4307F">
        <w:t xml:space="preserve">„War der festgenommene Täter van der </w:t>
      </w:r>
      <w:proofErr w:type="spellStart"/>
      <w:r w:rsidR="00B4307F">
        <w:t>Lubbe</w:t>
      </w:r>
      <w:proofErr w:type="spellEnd"/>
      <w:r w:rsidR="00B4307F">
        <w:t xml:space="preserve"> ein Provokateur oder ein irregeleitetes Opfer and</w:t>
      </w:r>
      <w:r w:rsidR="00B4307F">
        <w:t>e</w:t>
      </w:r>
      <w:r w:rsidR="00B4307F">
        <w:t>rer? Wem nützte der Brand politisch?“</w:t>
      </w:r>
      <w:r w:rsidR="00093EF1">
        <w:rPr>
          <w:rStyle w:val="Funotenzeichen"/>
        </w:rPr>
        <w:footnoteReference w:id="12"/>
      </w:r>
      <w:r w:rsidR="00B4307F">
        <w:t xml:space="preserve"> </w:t>
      </w:r>
      <w:r w:rsidR="00093EF1">
        <w:t>Aus dieser Koinzidenz – und der Stimulation einer detektivischen Neugier beim Leser, so muss man das Votum Babette Gross‘ vermutlich e</w:t>
      </w:r>
      <w:r w:rsidR="00093EF1">
        <w:t>r</w:t>
      </w:r>
      <w:r w:rsidR="00093EF1">
        <w:t xml:space="preserve">gänzen – entwickelte sich die besondere Überzeugungskraft des </w:t>
      </w:r>
      <w:r w:rsidR="00093EF1">
        <w:rPr>
          <w:i/>
        </w:rPr>
        <w:t>Braunbuchs</w:t>
      </w:r>
      <w:r w:rsidR="00093EF1">
        <w:t xml:space="preserve">, die bis weit über die Dauer der NS-Diktatur Bestand hatte. Arthur Koestler, einer der Mitautoren des </w:t>
      </w:r>
      <w:r w:rsidR="00093EF1">
        <w:rPr>
          <w:i/>
        </w:rPr>
        <w:t>Braunb</w:t>
      </w:r>
      <w:r w:rsidR="00093EF1">
        <w:rPr>
          <w:i/>
        </w:rPr>
        <w:t>u</w:t>
      </w:r>
      <w:r w:rsidR="00093EF1">
        <w:rPr>
          <w:i/>
        </w:rPr>
        <w:lastRenderedPageBreak/>
        <w:t>ches</w:t>
      </w:r>
      <w:r w:rsidR="00093EF1">
        <w:t>, formuliert</w:t>
      </w:r>
      <w:r w:rsidR="00717C97">
        <w:t>e</w:t>
      </w:r>
      <w:r w:rsidR="00093EF1">
        <w:t xml:space="preserve"> den Tatbestand zynischer: </w:t>
      </w:r>
      <w:r w:rsidR="00B4307F">
        <w:t>„All das gründete sich auf Deduktion, Intuition und Pokerbluff. […] Alles andere waren Schüsse ins Blaue, die aber ins Schwarze trafen.“</w:t>
      </w:r>
      <w:r w:rsidR="00093EF1">
        <w:rPr>
          <w:rStyle w:val="Funotenzeichen"/>
        </w:rPr>
        <w:footnoteReference w:id="13"/>
      </w:r>
      <w:r w:rsidR="00B4307F">
        <w:t xml:space="preserve"> </w:t>
      </w:r>
    </w:p>
    <w:p w:rsidR="00346DAF" w:rsidRDefault="00F558F8" w:rsidP="003C6AE4">
      <w:pPr>
        <w:spacing w:after="0"/>
        <w:jc w:val="both"/>
      </w:pPr>
      <w:r>
        <w:tab/>
        <w:t>Koestlers illusionsfreies Urteil trifft den Sachverhalt vermutlich besser als die Ei</w:t>
      </w:r>
      <w:r>
        <w:t>n</w:t>
      </w:r>
      <w:r>
        <w:t>schätzung, die Babette Gross vorbringt. Dem heutigen Betrachter fällt auf, wie geschickt die Autoren auch beim Einsatz von Bilddokumenten vorgehen. Sie verwenden mit Absicht offiz</w:t>
      </w:r>
      <w:r>
        <w:t>i</w:t>
      </w:r>
      <w:r>
        <w:t>elles (innerdeutsches) Pressematerial – so bei den Brandfotos –, vor allem nationalsozialist</w:t>
      </w:r>
      <w:r>
        <w:t>i</w:t>
      </w:r>
      <w:r>
        <w:t>sches Werbematerial, also Bilder von Hitler, Goebbels, Göring</w:t>
      </w:r>
      <w:r w:rsidR="00A35D0A">
        <w:t xml:space="preserve">, Rust oder Heines, die alle Merkmale der NS-typischen bildlichen Stilisierung aufweisen. Die Fotos von </w:t>
      </w:r>
      <w:proofErr w:type="spellStart"/>
      <w:r w:rsidR="00A35D0A">
        <w:t>Dimitroff</w:t>
      </w:r>
      <w:proofErr w:type="spellEnd"/>
      <w:r w:rsidR="00A35D0A">
        <w:t xml:space="preserve">, </w:t>
      </w:r>
      <w:proofErr w:type="spellStart"/>
      <w:r w:rsidR="00A35D0A">
        <w:t>Tor</w:t>
      </w:r>
      <w:r w:rsidR="00A35D0A">
        <w:t>g</w:t>
      </w:r>
      <w:r w:rsidR="00A35D0A">
        <w:t>ler</w:t>
      </w:r>
      <w:proofErr w:type="spellEnd"/>
      <w:r w:rsidR="00A35D0A">
        <w:t xml:space="preserve">, </w:t>
      </w:r>
      <w:proofErr w:type="spellStart"/>
      <w:r w:rsidR="00A35D0A">
        <w:t>Popoff</w:t>
      </w:r>
      <w:proofErr w:type="spellEnd"/>
      <w:r w:rsidR="00A35D0A">
        <w:t xml:space="preserve">, </w:t>
      </w:r>
      <w:proofErr w:type="spellStart"/>
      <w:r w:rsidR="00A35D0A">
        <w:t>Taneff</w:t>
      </w:r>
      <w:proofErr w:type="spellEnd"/>
      <w:r w:rsidR="00A35D0A">
        <w:t xml:space="preserve"> und Thälmann heben sich</w:t>
      </w:r>
      <w:r w:rsidR="00717C97">
        <w:t xml:space="preserve"> dagegen</w:t>
      </w:r>
      <w:r w:rsidR="00A35D0A">
        <w:t xml:space="preserve"> deutlich von den Bildern der nationa</w:t>
      </w:r>
      <w:r w:rsidR="00A35D0A">
        <w:t>l</w:t>
      </w:r>
      <w:r w:rsidR="00A35D0A">
        <w:t>sozialistischen Akteure ab. Ganz ähnlich verhält es sich den Fotos, d</w:t>
      </w:r>
      <w:r w:rsidR="00380375">
        <w:t>ie</w:t>
      </w:r>
      <w:r w:rsidR="00A35D0A">
        <w:t xml:space="preserve"> die Deportierung des früheren oldenburgischen Ministerpräsidenten und SPD-Reichstagsabgeordneten Kuhnt bzw. die Bücherverbrennung auf dem Berliner Opernplatz zeig</w:t>
      </w:r>
      <w:r w:rsidR="00380375">
        <w:t>en.</w:t>
      </w:r>
      <w:r w:rsidR="00A35D0A">
        <w:t xml:space="preserve"> </w:t>
      </w:r>
      <w:r w:rsidR="004235BB">
        <w:t xml:space="preserve">Auch hier handelt es sich um charakteristische nationalsozialistische Propagandafotos. Die Autoren und Designer des </w:t>
      </w:r>
      <w:r w:rsidR="004235BB">
        <w:rPr>
          <w:i/>
        </w:rPr>
        <w:t>Braunbuchs</w:t>
      </w:r>
      <w:r w:rsidR="004235BB">
        <w:t xml:space="preserve"> greifen also bewusst auf das Moment der bildlichen</w:t>
      </w:r>
      <w:r w:rsidR="00717C97">
        <w:t>, dokumentarischen</w:t>
      </w:r>
      <w:r w:rsidR="004235BB">
        <w:t xml:space="preserve"> ‚Authe</w:t>
      </w:r>
      <w:r w:rsidR="004235BB">
        <w:t>n</w:t>
      </w:r>
      <w:r w:rsidR="004235BB">
        <w:t>tizität‘ zurück.</w:t>
      </w:r>
      <w:r w:rsidR="003B7732">
        <w:t xml:space="preserve"> </w:t>
      </w:r>
      <w:r w:rsidR="00717C97">
        <w:t xml:space="preserve">Der Aufbau </w:t>
      </w:r>
      <w:r w:rsidR="00380375">
        <w:t>und die Anlage</w:t>
      </w:r>
      <w:r w:rsidR="003D2278">
        <w:t xml:space="preserve"> </w:t>
      </w:r>
      <w:r w:rsidR="00717C97">
        <w:t xml:space="preserve">des </w:t>
      </w:r>
      <w:r w:rsidR="00717C97" w:rsidRPr="00380375">
        <w:rPr>
          <w:i/>
        </w:rPr>
        <w:t>B</w:t>
      </w:r>
      <w:r w:rsidR="00380375" w:rsidRPr="00380375">
        <w:rPr>
          <w:i/>
        </w:rPr>
        <w:t>raunb</w:t>
      </w:r>
      <w:r w:rsidR="00717C97" w:rsidRPr="00380375">
        <w:rPr>
          <w:i/>
        </w:rPr>
        <w:t>uches</w:t>
      </w:r>
      <w:r w:rsidR="00717C97">
        <w:t xml:space="preserve"> l</w:t>
      </w:r>
      <w:r w:rsidR="00380375">
        <w:t>a</w:t>
      </w:r>
      <w:r w:rsidR="00717C97">
        <w:t>ss</w:t>
      </w:r>
      <w:r w:rsidR="00380375">
        <w:t>en</w:t>
      </w:r>
      <w:r w:rsidR="00717C97">
        <w:t xml:space="preserve"> die Schlussfolgerung als zwingend erscheinen, der Reichstagsbrand sei der Kernpunkt eines umfassenden Planes g</w:t>
      </w:r>
      <w:r w:rsidR="00717C97">
        <w:t>e</w:t>
      </w:r>
      <w:r w:rsidR="00717C97">
        <w:t>wesen, durch den der Nationalsozialismus und die ihn finanzierenden Hintermänner aus der Industrie die Absicht verwirklichten, einen Vorwand für die von ihnen geplante Zerschlagung der Arbeiterbewegung zu erhalten.</w:t>
      </w:r>
    </w:p>
    <w:p w:rsidR="00FE1BCC" w:rsidRDefault="003B7732" w:rsidP="003C6AE4">
      <w:pPr>
        <w:spacing w:after="0"/>
        <w:ind w:firstLine="708"/>
        <w:jc w:val="both"/>
      </w:pPr>
      <w:r>
        <w:t>Das eigentlich spektakuläre Zentrum des Buches war natürlich der Hinweis auf den unterirdischen Gang, der das Palais des Reichstagspräsidenten, also Görings, mit dem Reich</w:t>
      </w:r>
      <w:r>
        <w:t>s</w:t>
      </w:r>
      <w:r>
        <w:t xml:space="preserve">tagsgebäude verband. Allein die Tatsache, dass eine solche ‚geheime‘ Verbindung vorhanden war, stimulierte natürlich die Fantasie der Leser, und die sich daraus ergebenden Folgerungen, Göring sei der eigentliche Initiator des Brandes, war selbst für kritische Leser des </w:t>
      </w:r>
      <w:r>
        <w:rPr>
          <w:i/>
        </w:rPr>
        <w:t>Braunbuchs</w:t>
      </w:r>
      <w:r>
        <w:t xml:space="preserve"> nachvollziehbar.</w:t>
      </w:r>
      <w:r w:rsidR="00346DAF">
        <w:rPr>
          <w:rStyle w:val="Funotenzeichen"/>
        </w:rPr>
        <w:footnoteReference w:id="14"/>
      </w:r>
      <w:r w:rsidR="00346DAF">
        <w:t xml:space="preserve"> </w:t>
      </w:r>
      <w:r w:rsidR="00793E6D">
        <w:t>Im höchsten Maße kritisch muss man jedoch die manipulative Beziehung beurteilen, mit der eine sexuelle Disposition: die Homosexualität, ins Zentrum des Gesch</w:t>
      </w:r>
      <w:r w:rsidR="00793E6D">
        <w:t>e</w:t>
      </w:r>
      <w:r w:rsidR="00793E6D">
        <w:t>hens gerückt wurde.</w:t>
      </w:r>
      <w:r w:rsidR="00793E6D">
        <w:rPr>
          <w:rStyle w:val="Funotenzeichen"/>
        </w:rPr>
        <w:footnoteReference w:id="15"/>
      </w:r>
      <w:r w:rsidR="00B9677B">
        <w:t xml:space="preserve"> Dies war infam, weil der Kampf gegen politische und rassistische Stigmatisierung, der das Zentrum des </w:t>
      </w:r>
      <w:r w:rsidR="00B9677B">
        <w:rPr>
          <w:i/>
        </w:rPr>
        <w:t>Braunbuches</w:t>
      </w:r>
      <w:r w:rsidR="00B9677B">
        <w:t xml:space="preserve"> bildete, seinerseits mit dem Instrument </w:t>
      </w:r>
      <w:r w:rsidR="00B9677B" w:rsidRPr="00B9677B">
        <w:rPr>
          <w:i/>
        </w:rPr>
        <w:t xml:space="preserve">sexueller </w:t>
      </w:r>
      <w:r w:rsidR="00B9677B">
        <w:t>Stigmatisierung geführt wurde.</w:t>
      </w:r>
      <w:r w:rsidR="00B9677B">
        <w:rPr>
          <w:rStyle w:val="Funotenzeichen"/>
        </w:rPr>
        <w:footnoteReference w:id="16"/>
      </w:r>
    </w:p>
    <w:p w:rsidR="0070139E" w:rsidRPr="0070139E" w:rsidRDefault="0070139E" w:rsidP="003C6AE4">
      <w:pPr>
        <w:spacing w:after="0"/>
        <w:ind w:firstLine="708"/>
        <w:jc w:val="both"/>
      </w:pPr>
      <w:r>
        <w:t xml:space="preserve">Das </w:t>
      </w:r>
      <w:r>
        <w:rPr>
          <w:i/>
        </w:rPr>
        <w:t>Braunbuch</w:t>
      </w:r>
      <w:r>
        <w:t xml:space="preserve"> schuf einen Mythos: den der Nationalsozialisten als „Reichstag</w:t>
      </w:r>
      <w:r>
        <w:t>s</w:t>
      </w:r>
      <w:r>
        <w:t>brandstifter“. Dieser Mythos ist bis heute lebendig. Spätere Untersuchungen über die Urs</w:t>
      </w:r>
      <w:r>
        <w:t>a</w:t>
      </w:r>
      <w:r>
        <w:t xml:space="preserve">chen und den Ablauf des Brandes haben die Thesen des </w:t>
      </w:r>
      <w:r w:rsidRPr="0070139E">
        <w:rPr>
          <w:i/>
        </w:rPr>
        <w:t>Braunbuches</w:t>
      </w:r>
      <w:r>
        <w:t xml:space="preserve"> in Zweifel gezogen, den Mythos jedoch nicht aus der Welt geschafft. </w:t>
      </w:r>
      <w:r w:rsidR="00143388">
        <w:t>– Die Wirkung auf die zeitgenössischen Rezip</w:t>
      </w:r>
      <w:r w:rsidR="00143388">
        <w:t>i</w:t>
      </w:r>
      <w:r w:rsidR="00143388">
        <w:t xml:space="preserve">enten war immens. </w:t>
      </w:r>
      <w:r w:rsidRPr="0070139E">
        <w:t>Die</w:t>
      </w:r>
      <w:r>
        <w:t xml:space="preserve"> Überzeugungskraft des Textes und der hier formulierten Hypothesen war so groß, dass die Nationalsozialisten gezwungen waren, einen ordentlichen, von der Weltöffentlichkeit genau beobachteten Prozess zu führen</w:t>
      </w:r>
      <w:r w:rsidR="00143388">
        <w:t xml:space="preserve">. Damit war einiges erreicht. Dass </w:t>
      </w:r>
      <w:r w:rsidR="00143388">
        <w:lastRenderedPageBreak/>
        <w:t>der Terror beendet und der Rechtsstaat wieder in Kraft gesetzt würde, war nicht zu erwarten gewesen.</w:t>
      </w:r>
      <w:r>
        <w:t xml:space="preserve"> </w:t>
      </w:r>
    </w:p>
    <w:p w:rsidR="0016325F" w:rsidRDefault="0016325F" w:rsidP="003C6AE4">
      <w:pPr>
        <w:spacing w:after="0"/>
        <w:jc w:val="both"/>
      </w:pPr>
    </w:p>
    <w:p w:rsidR="0016325F" w:rsidRPr="00ED0A9E" w:rsidRDefault="00D410FE" w:rsidP="003C6AE4">
      <w:pPr>
        <w:spacing w:after="0"/>
        <w:jc w:val="both"/>
      </w:pPr>
      <w:r>
        <w:tab/>
        <w:t xml:space="preserve">Die zweite, richtungsweisende Dokumentation der Frühphase des Exils war </w:t>
      </w:r>
      <w:r>
        <w:rPr>
          <w:i/>
        </w:rPr>
        <w:t xml:space="preserve">Das Schwarzbuch. </w:t>
      </w:r>
      <w:r w:rsidR="00ED0A9E">
        <w:rPr>
          <w:i/>
        </w:rPr>
        <w:t>Tatsachen und Dokumente. Die Lage der Juden in Deutschland 1933.</w:t>
      </w:r>
      <w:r w:rsidR="00ED0A9E">
        <w:t xml:space="preserve"> D</w:t>
      </w:r>
      <w:r w:rsidR="008F42FD">
        <w:t>ie</w:t>
      </w:r>
      <w:r w:rsidR="00ED0A9E">
        <w:t xml:space="preserve"> </w:t>
      </w:r>
      <w:r w:rsidR="008F42FD">
        <w:t>D</w:t>
      </w:r>
      <w:r w:rsidR="008F42FD">
        <w:t>o</w:t>
      </w:r>
      <w:r w:rsidR="008F42FD">
        <w:t>kumentation</w:t>
      </w:r>
      <w:r w:rsidR="00ED0A9E">
        <w:t xml:space="preserve"> wurde vom </w:t>
      </w:r>
      <w:proofErr w:type="spellStart"/>
      <w:r w:rsidR="00ED0A9E">
        <w:t>Comité</w:t>
      </w:r>
      <w:proofErr w:type="spellEnd"/>
      <w:r w:rsidR="00ED0A9E">
        <w:t xml:space="preserve"> des </w:t>
      </w:r>
      <w:proofErr w:type="spellStart"/>
      <w:r w:rsidR="00ED0A9E">
        <w:t>Délégations</w:t>
      </w:r>
      <w:proofErr w:type="spellEnd"/>
      <w:r w:rsidR="00ED0A9E">
        <w:t xml:space="preserve"> </w:t>
      </w:r>
      <w:proofErr w:type="spellStart"/>
      <w:r w:rsidR="00ED0A9E">
        <w:t>Juives</w:t>
      </w:r>
      <w:proofErr w:type="spellEnd"/>
      <w:r w:rsidR="00ED0A9E">
        <w:t xml:space="preserve"> herausgeg</w:t>
      </w:r>
      <w:r w:rsidR="00380375">
        <w:t>e</w:t>
      </w:r>
      <w:r w:rsidR="00ED0A9E">
        <w:t>ben (Paris [Anfang] 1934)</w:t>
      </w:r>
      <w:r w:rsidR="008F42FD">
        <w:t>.</w:t>
      </w:r>
      <w:r w:rsidR="006F12B3">
        <w:rPr>
          <w:rStyle w:val="Funotenzeichen"/>
        </w:rPr>
        <w:footnoteReference w:id="17"/>
      </w:r>
      <w:r w:rsidR="008F42FD">
        <w:t>Bei der Sammlung der Dokumente wurde es vermutlich von innerdeutschen jüdischen Institutionen unterstützt</w:t>
      </w:r>
      <w:r w:rsidR="00ED0A9E">
        <w:t>.</w:t>
      </w:r>
      <w:r w:rsidR="008F42FD">
        <w:rPr>
          <w:rStyle w:val="Funotenzeichen"/>
        </w:rPr>
        <w:footnoteReference w:id="18"/>
      </w:r>
      <w:r w:rsidR="00ED0A9E">
        <w:t xml:space="preserve"> Der verantwortliche Redakteur war Rudolf </w:t>
      </w:r>
      <w:proofErr w:type="spellStart"/>
      <w:r w:rsidR="00ED0A9E">
        <w:t>Olden</w:t>
      </w:r>
      <w:proofErr w:type="spellEnd"/>
      <w:r w:rsidR="00ED0A9E">
        <w:t xml:space="preserve">. </w:t>
      </w:r>
      <w:proofErr w:type="spellStart"/>
      <w:r w:rsidR="00ED0A9E">
        <w:t>Olden</w:t>
      </w:r>
      <w:proofErr w:type="spellEnd"/>
      <w:r w:rsidR="00ED0A9E">
        <w:t>, prom</w:t>
      </w:r>
      <w:r w:rsidR="00ED0A9E">
        <w:t>o</w:t>
      </w:r>
      <w:r w:rsidR="00ED0A9E">
        <w:t xml:space="preserve">vierter Jurist, war von 1924 bis 1933 politischer Leitartikler und zuletzt stellvertretender Chefredakteur des </w:t>
      </w:r>
      <w:r w:rsidR="00ED0A9E">
        <w:rPr>
          <w:i/>
        </w:rPr>
        <w:t>Berliner Tageblatts</w:t>
      </w:r>
      <w:r w:rsidR="00ED0A9E">
        <w:t xml:space="preserve"> gewesen, dazu Mitarbeiter der </w:t>
      </w:r>
      <w:r w:rsidR="00ED0A9E">
        <w:rPr>
          <w:i/>
        </w:rPr>
        <w:t>Weltbühne</w:t>
      </w:r>
      <w:r w:rsidR="00ED0A9E">
        <w:t xml:space="preserve"> und des </w:t>
      </w:r>
      <w:r w:rsidR="00ED0A9E">
        <w:rPr>
          <w:i/>
        </w:rPr>
        <w:t>T</w:t>
      </w:r>
      <w:r w:rsidR="00ED0A9E">
        <w:rPr>
          <w:i/>
        </w:rPr>
        <w:t>a</w:t>
      </w:r>
      <w:r w:rsidR="00ED0A9E">
        <w:rPr>
          <w:i/>
        </w:rPr>
        <w:t>ge-Buchs</w:t>
      </w:r>
      <w:r w:rsidR="00ED0A9E">
        <w:t xml:space="preserve">. Er war </w:t>
      </w:r>
      <w:r w:rsidR="009B0928">
        <w:t xml:space="preserve">einer der </w:t>
      </w:r>
      <w:r w:rsidR="00ED0A9E">
        <w:t xml:space="preserve">Verteidiger Ossietzkys im </w:t>
      </w:r>
      <w:r w:rsidR="00ED0A9E">
        <w:rPr>
          <w:i/>
        </w:rPr>
        <w:t>Weltbühnen-</w:t>
      </w:r>
      <w:r w:rsidR="00ED0A9E">
        <w:t xml:space="preserve">Prozess </w:t>
      </w:r>
      <w:r w:rsidR="009B0928">
        <w:t xml:space="preserve">von </w:t>
      </w:r>
      <w:r w:rsidR="00ED0A9E">
        <w:t>1932.</w:t>
      </w:r>
    </w:p>
    <w:p w:rsidR="0016325F" w:rsidRPr="00143388" w:rsidRDefault="009B0928" w:rsidP="003C6AE4">
      <w:pPr>
        <w:spacing w:after="0"/>
        <w:jc w:val="both"/>
      </w:pPr>
      <w:r>
        <w:tab/>
        <w:t xml:space="preserve">Das </w:t>
      </w:r>
      <w:r>
        <w:rPr>
          <w:i/>
        </w:rPr>
        <w:t>Schwarzbuch</w:t>
      </w:r>
      <w:r>
        <w:t xml:space="preserve"> unterscheidet sich grundlegend von Münzenbergs </w:t>
      </w:r>
      <w:r>
        <w:rPr>
          <w:i/>
        </w:rPr>
        <w:t>Braunbuch</w:t>
      </w:r>
      <w:r>
        <w:t>, i</w:t>
      </w:r>
      <w:r>
        <w:t>n</w:t>
      </w:r>
      <w:r>
        <w:t xml:space="preserve">dem es nahezu ausschließlich auf öffentlich zugängliche Dokumente, vornehmlich Presse-Berichte, setzt. Der Text ist auf Informationsvermittlung angelegt; politische Spekulationen sucht man hier vergeblich. Die propagandistische Wirkung resultiert einzig und allein aus der überwältigenden Menge </w:t>
      </w:r>
      <w:r w:rsidR="00057F88">
        <w:t>a</w:t>
      </w:r>
      <w:r>
        <w:t xml:space="preserve">n Informationen über die Entrechtung, Stigmatisierung, den </w:t>
      </w:r>
      <w:r w:rsidR="0070139E">
        <w:t xml:space="preserve">Terror, </w:t>
      </w:r>
      <w:r>
        <w:t>Boykott und die Entlassungen bzw. Berufsverbote, von denen die jüdische Bevölkerung</w:t>
      </w:r>
      <w:r>
        <w:t>s</w:t>
      </w:r>
      <w:r>
        <w:t xml:space="preserve">gruppe betroffen ist. </w:t>
      </w:r>
      <w:r w:rsidR="0070139E">
        <w:t>Das Buch mit dem Umfang von 525 Druckseiten fordert die internation</w:t>
      </w:r>
      <w:r w:rsidR="0070139E">
        <w:t>a</w:t>
      </w:r>
      <w:r w:rsidR="0070139E">
        <w:t>le Öffentlichkeit auf, zu dem Geschehen</w:t>
      </w:r>
      <w:r w:rsidR="00143388">
        <w:t xml:space="preserve"> Stellung zu nehmen.</w:t>
      </w:r>
      <w:r w:rsidR="002642A8">
        <w:rPr>
          <w:rStyle w:val="Funotenzeichen"/>
        </w:rPr>
        <w:footnoteReference w:id="19"/>
      </w:r>
      <w:r w:rsidR="00143388">
        <w:t xml:space="preserve"> D</w:t>
      </w:r>
      <w:r w:rsidR="002642A8">
        <w:t>er</w:t>
      </w:r>
      <w:r w:rsidR="00143388">
        <w:t xml:space="preserve"> potentielle Adressat des </w:t>
      </w:r>
      <w:r w:rsidR="00143388">
        <w:rPr>
          <w:i/>
        </w:rPr>
        <w:t>Schwarzbuches</w:t>
      </w:r>
      <w:r w:rsidR="00143388">
        <w:t xml:space="preserve"> ist nicht das Exil; es sind Verbände</w:t>
      </w:r>
      <w:r w:rsidR="008F42FD">
        <w:t>,</w:t>
      </w:r>
      <w:r w:rsidR="00143388">
        <w:t xml:space="preserve"> Organisationen</w:t>
      </w:r>
      <w:r w:rsidR="008F42FD">
        <w:t xml:space="preserve"> und – vermutlich – die Regierungen.</w:t>
      </w:r>
      <w:r w:rsidR="00143388">
        <w:t xml:space="preserve"> Die Hoffnung des Bearbeiters, dass aus diesem Material bei den europäischen und außereuropäischen Regierungen Konsequenzen im politischen Handeln erwachsen wü</w:t>
      </w:r>
      <w:r w:rsidR="00143388">
        <w:t>r</w:t>
      </w:r>
      <w:r w:rsidR="00143388">
        <w:t>den, war</w:t>
      </w:r>
      <w:r w:rsidR="002642A8">
        <w:t xml:space="preserve"> j</w:t>
      </w:r>
      <w:r w:rsidR="00143388">
        <w:t>edoch vergeblich.</w:t>
      </w:r>
    </w:p>
    <w:p w:rsidR="0016325F" w:rsidRDefault="002642A8" w:rsidP="003C6AE4">
      <w:pPr>
        <w:spacing w:after="0"/>
        <w:jc w:val="both"/>
      </w:pPr>
      <w:r>
        <w:tab/>
      </w:r>
      <w:r w:rsidR="001A31C2" w:rsidRPr="001A31C2">
        <w:rPr>
          <w:i/>
        </w:rPr>
        <w:t>Das Schwarzbuch</w:t>
      </w:r>
      <w:r w:rsidR="001A31C2">
        <w:t xml:space="preserve"> gliedert sich in 12 Kapitel von unterschiedlichem Umfang. Das er</w:t>
      </w:r>
      <w:r w:rsidR="001A31C2">
        <w:t>s</w:t>
      </w:r>
      <w:r w:rsidR="001A31C2">
        <w:t>te Kapitel dient dabei als juristische Einführung in den Problembereich. Hier wird definiert, we</w:t>
      </w:r>
      <w:r w:rsidR="00B24625">
        <w:t>lcher Personenkreis</w:t>
      </w:r>
      <w:r w:rsidR="001A31C2">
        <w:t xml:space="preserve"> in dieser Denkschrift mit dem Begriff ‚Jude</w:t>
      </w:r>
      <w:r w:rsidR="00B24625">
        <w:t>n</w:t>
      </w:r>
      <w:r w:rsidR="001A31C2">
        <w:t xml:space="preserve">‘ </w:t>
      </w:r>
      <w:r w:rsidR="00B24625">
        <w:t>bezeichnet wird, inwi</w:t>
      </w:r>
      <w:r w:rsidR="00B24625">
        <w:t>e</w:t>
      </w:r>
      <w:r w:rsidR="00B24625">
        <w:t>fern die staatsbürgerlichen Rechte der Juden im Dritten Reich beschränkt sind, wie diese Fr</w:t>
      </w:r>
      <w:r w:rsidR="00B24625">
        <w:t>a</w:t>
      </w:r>
      <w:r w:rsidR="00B24625">
        <w:t>ge im nationalsozialistischen Parteiprogramm verankert ist und wie es sich mit der Bevölk</w:t>
      </w:r>
      <w:r w:rsidR="00B24625">
        <w:t>e</w:t>
      </w:r>
      <w:r w:rsidR="00B24625">
        <w:t xml:space="preserve">rungs- und Berufsgliederung der deutschen Juden verhält. </w:t>
      </w:r>
      <w:r w:rsidR="00791B11">
        <w:t>Das kurze Kapitel II „Religiöses“ behandelt die Änderung des Schächtungsgesetzes vom April 1933, die Sperrung von Staat</w:t>
      </w:r>
      <w:r w:rsidR="00791B11">
        <w:t>s</w:t>
      </w:r>
      <w:r w:rsidR="00791B11">
        <w:t xml:space="preserve">mitteln für die Kultusorganisationen </w:t>
      </w:r>
      <w:r w:rsidR="00156D87">
        <w:t>und einzelne Übergriffe im religiösen Bereich.</w:t>
      </w:r>
      <w:r w:rsidR="00791B11">
        <w:t xml:space="preserve"> </w:t>
      </w:r>
      <w:r w:rsidR="00B24625">
        <w:t>In den Kapiteln III bis VIII werden am Beispiel zentraler Berufsfelder: Verwaltung und Justiz, G</w:t>
      </w:r>
      <w:r w:rsidR="00B24625">
        <w:t>e</w:t>
      </w:r>
      <w:r w:rsidR="00B24625">
        <w:t>sundheitswesen, Hochschule und Schule, Wirtschaft, Kunst, Film und Presse und dem B</w:t>
      </w:r>
      <w:r w:rsidR="00B24625">
        <w:t>e</w:t>
      </w:r>
      <w:r w:rsidR="00B24625">
        <w:t xml:space="preserve">reich „Gemeinschaftsleben“ die schon im Anfangskapitel dargelegten beruflichen, rechtlichen und wirtschaftlichen Eingriffe anhand der </w:t>
      </w:r>
      <w:r w:rsidR="0052645B">
        <w:t xml:space="preserve">einschlägigen </w:t>
      </w:r>
      <w:r w:rsidR="00B24625">
        <w:t xml:space="preserve">Verordnungen </w:t>
      </w:r>
      <w:r w:rsidR="0052645B">
        <w:t>bzw. regierungsamtl</w:t>
      </w:r>
      <w:r w:rsidR="0052645B">
        <w:t>i</w:t>
      </w:r>
      <w:r w:rsidR="0052645B">
        <w:t xml:space="preserve">chen Äußerungen </w:t>
      </w:r>
      <w:r w:rsidR="00B24625">
        <w:t xml:space="preserve">und der Presseberichterstattung </w:t>
      </w:r>
      <w:r w:rsidR="0052645B">
        <w:t>über entsprechende antisemitische Vo</w:t>
      </w:r>
      <w:r w:rsidR="0052645B">
        <w:t>r</w:t>
      </w:r>
      <w:r w:rsidR="0052645B">
        <w:t xml:space="preserve">kommnisse </w:t>
      </w:r>
      <w:r w:rsidR="00B24625">
        <w:t>dargelegt. Das IX. Kapitel ist mit dem sprechenden Titel „Gewalttaten“ übe</w:t>
      </w:r>
      <w:r w:rsidR="00B24625">
        <w:t>r</w:t>
      </w:r>
      <w:r w:rsidR="00B24625">
        <w:t>schrieben; das X. Kapitel trägt die Überschrift „Auswirkungen der Judenverfol</w:t>
      </w:r>
      <w:r w:rsidR="00791B11">
        <w:t xml:space="preserve">gung“ und </w:t>
      </w:r>
      <w:r w:rsidR="00791B11">
        <w:lastRenderedPageBreak/>
        <w:t>thematisiert am Anfang die Ausgliederung</w:t>
      </w:r>
      <w:r w:rsidR="00B24625">
        <w:t xml:space="preserve"> </w:t>
      </w:r>
      <w:r w:rsidR="00791B11">
        <w:t>der jüdischen Bevölkerungsgruppe aus dem Wir</w:t>
      </w:r>
      <w:r w:rsidR="00791B11">
        <w:t>t</w:t>
      </w:r>
      <w:r w:rsidR="00791B11">
        <w:t xml:space="preserve">schaftsleben, vor allem aber die Fluchtbewegung in die europäischen Nachbarstaaten. Den Abschluss bildet ein Verzeichnis der einschlägigen Gesetze, Verfügungen und Verordnungen. </w:t>
      </w:r>
    </w:p>
    <w:p w:rsidR="00622F4D" w:rsidRPr="00C45BC1" w:rsidRDefault="00C45BC1" w:rsidP="003C6AE4">
      <w:pPr>
        <w:spacing w:after="0"/>
        <w:jc w:val="both"/>
      </w:pPr>
      <w:r>
        <w:tab/>
        <w:t xml:space="preserve">Das </w:t>
      </w:r>
      <w:r>
        <w:rPr>
          <w:i/>
        </w:rPr>
        <w:t>Schwarzbuch</w:t>
      </w:r>
      <w:r>
        <w:t xml:space="preserve"> ist die Dokumentation eines Juristen, der der internationalen Öffen</w:t>
      </w:r>
      <w:r>
        <w:t>t</w:t>
      </w:r>
      <w:r>
        <w:t>lichkeit verdeutlichen will, dass in Deutschland der Rechtsstaat Schritt für Schritt destruiert wird. Der Rechtsstaat, basierend auf den Errungenschaften der europäischen Aufklärung, ist jedoch die Basis von Demokratie und Zivilisation. Wenn der Rechtsstaat unterminiert wird, dann ist nicht nur eine einzelne Minorität: die jüdische Bevölkerungsgruppe, das Opfer, so</w:t>
      </w:r>
      <w:r>
        <w:t>n</w:t>
      </w:r>
      <w:r>
        <w:t xml:space="preserve">dern dann wird der Bestand der gesamten westlichen Zivilisation in Frage gestellt. </w:t>
      </w:r>
    </w:p>
    <w:p w:rsidR="00C45BC1" w:rsidRDefault="00C45BC1" w:rsidP="003C6AE4">
      <w:pPr>
        <w:spacing w:after="0"/>
        <w:jc w:val="both"/>
      </w:pPr>
    </w:p>
    <w:p w:rsidR="00542E5B" w:rsidRDefault="00622F4D" w:rsidP="003C6AE4">
      <w:pPr>
        <w:spacing w:after="0"/>
        <w:jc w:val="both"/>
      </w:pPr>
      <w:r>
        <w:tab/>
      </w:r>
      <w:r w:rsidR="00C45BC1">
        <w:t xml:space="preserve">Von welch grundlegender Bedeutung </w:t>
      </w:r>
      <w:r w:rsidR="008078BB">
        <w:t>es war, auf die heimliche, unterschwellige Su</w:t>
      </w:r>
      <w:r w:rsidR="008078BB">
        <w:t>b</w:t>
      </w:r>
      <w:r w:rsidR="008078BB">
        <w:t xml:space="preserve">version des Rechtes und des Rechtsstaates aufmerksam zu machen, </w:t>
      </w:r>
      <w:r w:rsidR="00542E5B">
        <w:t>wird deutlich, wenn man den Blick auf andere zeitgenössische Stellungnahmen z</w:t>
      </w:r>
      <w:r w:rsidRPr="008078BB">
        <w:t>u</w:t>
      </w:r>
      <w:r>
        <w:t xml:space="preserve"> den Gefahren des sich immens sich verstärkenden Antisemitismus in Europa </w:t>
      </w:r>
      <w:r w:rsidR="00542E5B">
        <w:t>wirft. Zu diesen Texten</w:t>
      </w:r>
      <w:r>
        <w:t xml:space="preserve"> gehört der von Julius Epstein herausgegebene, 1933 im Prager Michael </w:t>
      </w:r>
      <w:proofErr w:type="spellStart"/>
      <w:r>
        <w:t>Kacha</w:t>
      </w:r>
      <w:proofErr w:type="spellEnd"/>
      <w:r>
        <w:t xml:space="preserve"> Verlag erschienene Sammelband </w:t>
      </w:r>
      <w:r>
        <w:rPr>
          <w:i/>
        </w:rPr>
        <w:t>Weltgericht über den</w:t>
      </w:r>
      <w:r>
        <w:t xml:space="preserve"> </w:t>
      </w:r>
      <w:r>
        <w:rPr>
          <w:i/>
        </w:rPr>
        <w:t>Judenhass.</w:t>
      </w:r>
      <w:r>
        <w:t xml:space="preserve"> Es ist eine eindrucksvolle Sammlung von </w:t>
      </w:r>
      <w:r w:rsidR="00AC2366">
        <w:t>Äußerung</w:t>
      </w:r>
      <w:r>
        <w:t>en</w:t>
      </w:r>
      <w:r w:rsidR="008078BB">
        <w:t xml:space="preserve"> u</w:t>
      </w:r>
      <w:r w:rsidR="008078BB">
        <w:t>n</w:t>
      </w:r>
      <w:r w:rsidR="008078BB">
        <w:t xml:space="preserve">terschiedlicher Autoren: </w:t>
      </w:r>
      <w:proofErr w:type="spellStart"/>
      <w:r w:rsidR="003F47D1">
        <w:t>Th</w:t>
      </w:r>
      <w:proofErr w:type="spellEnd"/>
      <w:r w:rsidR="003F47D1">
        <w:t>. G. Masaryk</w:t>
      </w:r>
      <w:r>
        <w:t>,</w:t>
      </w:r>
      <w:r w:rsidR="003F47D1">
        <w:t xml:space="preserve"> F. X. </w:t>
      </w:r>
      <w:proofErr w:type="spellStart"/>
      <w:r w:rsidR="003F47D1">
        <w:t>Šalda</w:t>
      </w:r>
      <w:proofErr w:type="spellEnd"/>
      <w:r w:rsidR="003F47D1">
        <w:t>, Henri Barbusse, Romain Rolland; K</w:t>
      </w:r>
      <w:r w:rsidR="003F47D1">
        <w:t>a</w:t>
      </w:r>
      <w:r w:rsidR="003F47D1">
        <w:t>rin Michaelis und anderen</w:t>
      </w:r>
      <w:r>
        <w:t xml:space="preserve">. </w:t>
      </w:r>
      <w:r w:rsidR="00F25278">
        <w:t>Hier spricht tatsächlich ein Teil der intellektuellen Elite Europas, und es ist aus heutiger Sicht fast unbegreiflich, weshalb diese Stellungnahmen bei den europ</w:t>
      </w:r>
      <w:r w:rsidR="00F25278">
        <w:t>ä</w:t>
      </w:r>
      <w:r w:rsidR="00F25278">
        <w:t>ischen Regierungen nicht auf Resonanz gestoßen sind.</w:t>
      </w:r>
    </w:p>
    <w:p w:rsidR="003F47D1" w:rsidRDefault="003F47D1" w:rsidP="003C6AE4">
      <w:pPr>
        <w:spacing w:after="0"/>
        <w:jc w:val="both"/>
      </w:pPr>
      <w:r>
        <w:tab/>
        <w:t>Romain Rolland äußert sich sehr direkt</w:t>
      </w:r>
      <w:r w:rsidR="00204524">
        <w:t xml:space="preserve"> und unverstellt</w:t>
      </w:r>
      <w:r>
        <w:t>:</w:t>
      </w:r>
    </w:p>
    <w:p w:rsidR="003F47D1" w:rsidRDefault="003F47D1" w:rsidP="003C6AE4">
      <w:pPr>
        <w:spacing w:after="0"/>
        <w:ind w:left="1134"/>
        <w:jc w:val="both"/>
      </w:pPr>
      <w:r>
        <w:t>„Angesichts der Judenverfolgung in Deutschland weiß man nicht, ob man eher die Dummheit oder die Bestialität des jetzigen Reg</w:t>
      </w:r>
      <w:r w:rsidR="00204524">
        <w:t>im</w:t>
      </w:r>
      <w:r>
        <w:t>es brand</w:t>
      </w:r>
      <w:r w:rsidR="00204524">
        <w:t>marken soll. Seit Jah</w:t>
      </w:r>
      <w:r w:rsidR="00204524">
        <w:t>r</w:t>
      </w:r>
      <w:r w:rsidR="00204524">
        <w:t xml:space="preserve">hunderten hat man das Schauspiel nicht gesehen, </w:t>
      </w:r>
      <w:proofErr w:type="spellStart"/>
      <w:r w:rsidR="00204524">
        <w:t>daß</w:t>
      </w:r>
      <w:proofErr w:type="spellEnd"/>
      <w:r w:rsidR="00204524">
        <w:t xml:space="preserve"> eine Regierung danach giert, einen Teil der intellektuellen und materiellen Reichtümer des Landes zu zerstören. […] Bei diesen </w:t>
      </w:r>
      <w:proofErr w:type="spellStart"/>
      <w:r w:rsidR="00204524">
        <w:t>Parvenus</w:t>
      </w:r>
      <w:proofErr w:type="spellEnd"/>
      <w:r w:rsidR="00204524">
        <w:t xml:space="preserve"> der Macht und Kultur </w:t>
      </w:r>
      <w:proofErr w:type="spellStart"/>
      <w:r w:rsidR="00204524">
        <w:t>muß</w:t>
      </w:r>
      <w:proofErr w:type="spellEnd"/>
      <w:r w:rsidR="00204524">
        <w:t xml:space="preserve"> eine grausame Ignoranz vo</w:t>
      </w:r>
      <w:r w:rsidR="00204524">
        <w:t>r</w:t>
      </w:r>
      <w:r w:rsidR="00204524">
        <w:t xml:space="preserve">handen sein, da sie sich nicht erinnern, </w:t>
      </w:r>
      <w:proofErr w:type="spellStart"/>
      <w:r w:rsidR="00204524">
        <w:t>daß</w:t>
      </w:r>
      <w:proofErr w:type="spellEnd"/>
      <w:r w:rsidR="00204524">
        <w:t xml:space="preserve"> die großen Deutschen der klassischen Epoche – wie der vornehme Lessing, dessen Andenken ihnen heilig sein sollte – hervorragende jüdische Geister geehrt und geliebt haben. Die rohe Faust Hitlers und Görings schlägt dem Autor Nathans des Weisen ins Antlitz. […] Die braune Pest hat gleich von Anfang an die schwarze Pest übertroffen. Der Hitlerfaschi</w:t>
      </w:r>
      <w:r w:rsidR="00204524">
        <w:t>s</w:t>
      </w:r>
      <w:r w:rsidR="00204524">
        <w:t>mus hat in vier Wochen mehr unwürdige Gewalttätigkeiten vollbracht als sein Meister und Muster, der italienische Faschismus, in zehn Jahren. Der Reichstag</w:t>
      </w:r>
      <w:r w:rsidR="00204524">
        <w:t>s</w:t>
      </w:r>
      <w:r w:rsidR="00204524">
        <w:t>brand, der diese Taten leg</w:t>
      </w:r>
      <w:r w:rsidR="00AC2366">
        <w:t>i</w:t>
      </w:r>
      <w:r w:rsidR="00204524">
        <w:t>timieren sollte, ist ein Akt grober Polizeiprovokation, auf die in Europa niemand hereinfällt.“</w:t>
      </w:r>
      <w:r w:rsidR="00204524">
        <w:rPr>
          <w:rStyle w:val="Funotenzeichen"/>
        </w:rPr>
        <w:footnoteReference w:id="20"/>
      </w:r>
    </w:p>
    <w:p w:rsidR="00945911" w:rsidRDefault="00945911" w:rsidP="003C6AE4">
      <w:pPr>
        <w:spacing w:after="0"/>
        <w:jc w:val="both"/>
      </w:pPr>
      <w:r>
        <w:t>Georges Duhamel hebt in seiner Stellungnahme die „Selbstverstümmelung“ der deutschen Intelligenz hervor:</w:t>
      </w:r>
    </w:p>
    <w:p w:rsidR="00945911" w:rsidRPr="00945911" w:rsidRDefault="00945911" w:rsidP="003C6AE4">
      <w:pPr>
        <w:spacing w:after="0"/>
        <w:ind w:left="1134"/>
        <w:jc w:val="both"/>
      </w:pPr>
      <w:r>
        <w:t xml:space="preserve">„Ich sehe, wie sich die deutsche Intelligenz selbst verstümmelt. Ich denke an all diese Richter, diese Hochschullehrer, großen Juristen, großen Gelehrten, </w:t>
      </w:r>
      <w:proofErr w:type="gramStart"/>
      <w:r>
        <w:t xml:space="preserve">großen und berühmten </w:t>
      </w:r>
      <w:proofErr w:type="spellStart"/>
      <w:r>
        <w:t>Aerzte</w:t>
      </w:r>
      <w:proofErr w:type="spellEnd"/>
      <w:proofErr w:type="gramEnd"/>
      <w:r>
        <w:t>, deren Arbeiten bis ans Ende der zivilisierten Welt Deutschlands Ruf hinaustrugen. Ich denke an diese ganze geistige tatkräftige Au</w:t>
      </w:r>
      <w:r>
        <w:t>s</w:t>
      </w:r>
      <w:r>
        <w:t xml:space="preserve">lese, die man mit einer für Deutschland schimpflichen, geistlosen und vor allem </w:t>
      </w:r>
      <w:r>
        <w:lastRenderedPageBreak/>
        <w:t xml:space="preserve">verbrecherischen Abberufung von ihren Posten zu Boden schlägt. […] </w:t>
      </w:r>
      <w:r w:rsidR="0033783B">
        <w:t>Ich denke an den Schmerz jener Familien, die durch Arbeit und Geist hochgekommen w</w:t>
      </w:r>
      <w:r w:rsidR="0033783B">
        <w:t>a</w:t>
      </w:r>
      <w:r w:rsidR="0033783B">
        <w:t>ren, und die von neuem den Weg ins Exil beschreiten müssen. […] Ich denke an diese ganze Schande, an dieses ganze Elend. Ich bin unglücklich, ein Mensch zu sein.“</w:t>
      </w:r>
      <w:r w:rsidR="0033783B">
        <w:rPr>
          <w:rStyle w:val="Funotenzeichen"/>
        </w:rPr>
        <w:footnoteReference w:id="21"/>
      </w:r>
    </w:p>
    <w:p w:rsidR="004235BB" w:rsidRDefault="008078BB" w:rsidP="003C6AE4">
      <w:pPr>
        <w:spacing w:after="0"/>
        <w:jc w:val="both"/>
      </w:pPr>
      <w:r>
        <w:t>Auch Heinrich Mann, der Repräsentan</w:t>
      </w:r>
      <w:r w:rsidR="003F47D1">
        <w:t xml:space="preserve">t </w:t>
      </w:r>
      <w:r>
        <w:t xml:space="preserve">des literarischen Exils, ist </w:t>
      </w:r>
      <w:r w:rsidR="0033783B">
        <w:t>in diesem Band</w:t>
      </w:r>
      <w:r>
        <w:t xml:space="preserve"> vertreten. Liest man </w:t>
      </w:r>
      <w:r w:rsidR="00542E5B">
        <w:t>sein Votum</w:t>
      </w:r>
      <w:r>
        <w:t xml:space="preserve"> aus heutiger Perspektive, wird jedoch deutlich, dass ihm 1933 das </w:t>
      </w:r>
      <w:r w:rsidR="00F25278">
        <w:t xml:space="preserve">volle </w:t>
      </w:r>
      <w:r>
        <w:t>Ausmaß der drohenden Gefahr noch nicht bewusst ist</w:t>
      </w:r>
      <w:r w:rsidR="00F25278">
        <w:t>. Vor allem der erste Satz ist getragen von einem Glauben an die Kraft der „Zivilisation“, der erstaunt</w:t>
      </w:r>
      <w:r>
        <w:t>:</w:t>
      </w:r>
    </w:p>
    <w:p w:rsidR="008078BB" w:rsidRPr="00622F4D" w:rsidRDefault="008078BB" w:rsidP="003C6AE4">
      <w:pPr>
        <w:spacing w:after="0"/>
        <w:ind w:left="1134"/>
        <w:jc w:val="both"/>
      </w:pPr>
      <w:r>
        <w:t xml:space="preserve">„Die Zivilisation als Form des inneren Lebens ist auch in den Deutschen, wie in allen Europäern zu stark befestigt, als </w:t>
      </w:r>
      <w:proofErr w:type="spellStart"/>
      <w:r>
        <w:t>daß</w:t>
      </w:r>
      <w:proofErr w:type="spellEnd"/>
      <w:r>
        <w:t xml:space="preserve"> die Anstrengungen von wahnsinnigen Dummköpfen sie herausreißen könnten. Sie besteht, ein bewundernswertestes G</w:t>
      </w:r>
      <w:r>
        <w:t>e</w:t>
      </w:r>
      <w:r>
        <w:t>bilde, aus Christentum und Antike, aus Mitleid und römischem Recht. Das bleibt; und für die Unglücklichen, die sich daran vergreifen wollen, werden schon die I</w:t>
      </w:r>
      <w:r>
        <w:t>r</w:t>
      </w:r>
      <w:r>
        <w:t xml:space="preserve">renhäuser gebaut, in denen sie enden sollen. Das Judentum ist als Vorgänger des Christentums in die Zivilisation eingeschlossen. Wer es hassen will, </w:t>
      </w:r>
      <w:proofErr w:type="spellStart"/>
      <w:r>
        <w:t>haßt</w:t>
      </w:r>
      <w:proofErr w:type="spellEnd"/>
      <w:r>
        <w:t xml:space="preserve"> darum äußersten Falles, nämlich heute, gleich die gesamte Zivilisation.“</w:t>
      </w:r>
    </w:p>
    <w:p w:rsidR="004235BB" w:rsidRDefault="00542E5B" w:rsidP="003C6AE4">
      <w:pPr>
        <w:spacing w:after="0"/>
        <w:jc w:val="both"/>
      </w:pPr>
      <w:r>
        <w:t>Hier wird eine Position beschrieben, in der die Grundlagen der westlichen Zivilisation: „Christentum und Antike, [.</w:t>
      </w:r>
      <w:r w:rsidR="00D17A1F">
        <w:t>.</w:t>
      </w:r>
      <w:r>
        <w:t>.] Mitleid und römische</w:t>
      </w:r>
      <w:r w:rsidR="00F25278">
        <w:t>[s]</w:t>
      </w:r>
      <w:r>
        <w:t xml:space="preserve"> Recht“, noch als eine Selbstverstän</w:t>
      </w:r>
      <w:r>
        <w:t>d</w:t>
      </w:r>
      <w:r>
        <w:t>lichkeit verstanden werden, die nur von Psychopathen in Zweifel gezogen werden könnte. Die Rassisten, Nationalisten und Technokraten des „Dritten Reiches“ schlichtweg als „Psychopa</w:t>
      </w:r>
      <w:r>
        <w:t>t</w:t>
      </w:r>
      <w:r>
        <w:t>hen“ zu verstehen, greift jedoch zu kurz.</w:t>
      </w:r>
    </w:p>
    <w:p w:rsidR="004235BB" w:rsidRDefault="0033783B" w:rsidP="003C6AE4">
      <w:pPr>
        <w:spacing w:after="0"/>
        <w:jc w:val="both"/>
      </w:pPr>
      <w:r>
        <w:tab/>
        <w:t>E</w:t>
      </w:r>
      <w:r w:rsidR="00B513F9">
        <w:t>indeutig</w:t>
      </w:r>
      <w:r>
        <w:t xml:space="preserve"> ist das Votum der dänischen Schriftstellerin Karin Michaelis:</w:t>
      </w:r>
    </w:p>
    <w:p w:rsidR="00091126" w:rsidRDefault="0033783B" w:rsidP="003C6AE4">
      <w:pPr>
        <w:spacing w:after="0"/>
        <w:ind w:left="1134"/>
        <w:jc w:val="both"/>
      </w:pPr>
      <w:r>
        <w:t xml:space="preserve">„Nirgends ist in meiner Seele Platz für den Begriff Antisemitismus. Was wären wir alle ohne die Juden? Ruht nicht unsere Kultur auf der ihren? Unsere Religion auf ihrer? Haben wir nicht das </w:t>
      </w:r>
      <w:r w:rsidR="00457BF7">
        <w:t>[A]</w:t>
      </w:r>
      <w:proofErr w:type="spellStart"/>
      <w:r>
        <w:t>lte</w:t>
      </w:r>
      <w:proofErr w:type="spellEnd"/>
      <w:r>
        <w:t xml:space="preserve"> Testament gemeinsam? Oder irre ich mich?</w:t>
      </w:r>
      <w:r w:rsidR="00091126">
        <w:t>“</w:t>
      </w:r>
    </w:p>
    <w:p w:rsidR="00091126" w:rsidRDefault="00091126" w:rsidP="003C6AE4">
      <w:pPr>
        <w:spacing w:after="0"/>
        <w:jc w:val="both"/>
      </w:pPr>
      <w:r>
        <w:t>Sie schließt ihre leidenschaftliche Intervention mit einem Ausblick in die Zukunft. Sie ahnt, dass sich die Verfolgung fortsetzen und steigern wird und dass noch ganz andere Schrecken zu erwarten sind. Gleichwohl steht am Schluss ihres Votums die Hoffnung auf die Zukunft:</w:t>
      </w:r>
    </w:p>
    <w:p w:rsidR="0033783B" w:rsidRDefault="00091126" w:rsidP="003C6AE4">
      <w:pPr>
        <w:spacing w:after="0"/>
        <w:ind w:left="1134"/>
        <w:jc w:val="both"/>
      </w:pPr>
      <w:r>
        <w:t>„</w:t>
      </w:r>
      <w:r w:rsidR="0033783B">
        <w:t>Was aus den geflohenen oder in Deutschland lebenden und unterdrückten Juden werden soll, ist für uns alle noch eine ungelöste Frage. Wir denken darüber Tag und Nacht nach und finden vorläufig keinen anderen Ausweg als unsere Hoffnung auf die Zukunft und die Menschlichkeit zu setzen“.</w:t>
      </w:r>
      <w:r>
        <w:rPr>
          <w:rStyle w:val="Funotenzeichen"/>
        </w:rPr>
        <w:footnoteReference w:id="22"/>
      </w:r>
      <w:r w:rsidR="0033783B">
        <w:t xml:space="preserve"> </w:t>
      </w:r>
    </w:p>
    <w:p w:rsidR="004235BB" w:rsidRDefault="004235BB" w:rsidP="003C6AE4">
      <w:pPr>
        <w:spacing w:after="0"/>
        <w:jc w:val="both"/>
      </w:pPr>
    </w:p>
    <w:p w:rsidR="004235BB" w:rsidRDefault="00B513F9" w:rsidP="003C6AE4">
      <w:pPr>
        <w:spacing w:after="0"/>
        <w:ind w:firstLine="708"/>
        <w:jc w:val="both"/>
      </w:pPr>
      <w:r>
        <w:t>1936 erscheint eine weitere richtungsweisende Dokumentation, diesmal in der ko</w:t>
      </w:r>
      <w:r>
        <w:t>m</w:t>
      </w:r>
      <w:r>
        <w:t xml:space="preserve">munistischen </w:t>
      </w:r>
      <w:proofErr w:type="spellStart"/>
      <w:r w:rsidR="000604E6">
        <w:t>É</w:t>
      </w:r>
      <w:r>
        <w:t>ditions</w:t>
      </w:r>
      <w:proofErr w:type="spellEnd"/>
      <w:r>
        <w:t xml:space="preserve"> du Carrefour: </w:t>
      </w:r>
      <w:r>
        <w:rPr>
          <w:i/>
        </w:rPr>
        <w:t>Der gelbe Fleck.</w:t>
      </w:r>
      <w:r>
        <w:rPr>
          <w:rStyle w:val="Funotenzeichen"/>
          <w:i/>
        </w:rPr>
        <w:footnoteReference w:id="23"/>
      </w:r>
      <w:r>
        <w:t xml:space="preserve"> </w:t>
      </w:r>
      <w:r w:rsidR="00396DED">
        <w:t>Die – im Impressum nicht genannte – Herausgeberin ist Lilly Becher</w:t>
      </w:r>
      <w:r w:rsidR="002E59DA">
        <w:t>, die Ehefrau von Johannes R. Becher</w:t>
      </w:r>
      <w:r w:rsidR="00396DED">
        <w:t xml:space="preserve">. </w:t>
      </w:r>
      <w:r w:rsidR="000604E6">
        <w:t>Von den früheren D</w:t>
      </w:r>
      <w:r w:rsidR="000604E6">
        <w:t>o</w:t>
      </w:r>
      <w:r w:rsidR="000604E6">
        <w:t xml:space="preserve">kumentationen unterscheidet </w:t>
      </w:r>
      <w:r w:rsidR="002E59DA">
        <w:t xml:space="preserve">der Band </w:t>
      </w:r>
      <w:r w:rsidR="000604E6">
        <w:t>sich dadurch, dass das systematische Vorgehen der nationalsozialistischen Regierung hier präziser als zuvor erfasst ist. Es wird nicht nur der Te</w:t>
      </w:r>
      <w:r w:rsidR="000604E6">
        <w:t>r</w:t>
      </w:r>
      <w:r w:rsidR="000604E6">
        <w:t>ror, die öffentliche Diffamierung der jüdischen Bevölkerung und die systematische Entla</w:t>
      </w:r>
      <w:r w:rsidR="000604E6">
        <w:t>s</w:t>
      </w:r>
      <w:r w:rsidR="000604E6">
        <w:t xml:space="preserve">sung von jüdischen Beamten und Angestellten dokumentiert, sondern </w:t>
      </w:r>
      <w:r w:rsidR="00A76ECF">
        <w:t>in dem Kapitel „Jude</w:t>
      </w:r>
      <w:r w:rsidR="00A76ECF">
        <w:t>n</w:t>
      </w:r>
      <w:r w:rsidR="00A76ECF">
        <w:lastRenderedPageBreak/>
        <w:t>reine Wirtschaft“</w:t>
      </w:r>
      <w:r w:rsidR="00A76ECF">
        <w:rPr>
          <w:rStyle w:val="Funotenzeichen"/>
        </w:rPr>
        <w:footnoteReference w:id="24"/>
      </w:r>
      <w:r w:rsidR="00A76ECF">
        <w:t xml:space="preserve"> beschreibt </w:t>
      </w:r>
      <w:r w:rsidR="00396DED">
        <w:t>di</w:t>
      </w:r>
      <w:r w:rsidR="000604E6">
        <w:t>e Herausgeber</w:t>
      </w:r>
      <w:r w:rsidR="00396DED">
        <w:t>in auch bereits die Systematik der „Arisierung“ jüdischer Geschäfte und Firmen</w:t>
      </w:r>
      <w:r w:rsidR="00560AF2">
        <w:t>. Sie</w:t>
      </w:r>
      <w:r w:rsidR="00396DED">
        <w:t xml:space="preserve"> dokumentiert das Vorgehen der Nationalsozialisten </w:t>
      </w:r>
      <w:r w:rsidR="00560AF2">
        <w:t xml:space="preserve">durch die Reproduktion </w:t>
      </w:r>
      <w:r w:rsidR="00396DED">
        <w:t xml:space="preserve">entsprechender Suchanzeigen in einer Einzelausgabe der </w:t>
      </w:r>
      <w:r w:rsidR="00396DED">
        <w:rPr>
          <w:i/>
        </w:rPr>
        <w:t>Frankfurter Zeitung</w:t>
      </w:r>
      <w:r w:rsidR="00396DED">
        <w:t>.</w:t>
      </w:r>
      <w:r w:rsidR="00396DED">
        <w:rPr>
          <w:rStyle w:val="Funotenzeichen"/>
        </w:rPr>
        <w:footnoteReference w:id="25"/>
      </w:r>
      <w:r w:rsidR="000604E6">
        <w:t xml:space="preserve"> </w:t>
      </w:r>
      <w:r w:rsidR="00560AF2">
        <w:t xml:space="preserve">Lilly Becher macht auf die Doppelbödigkeit des nationalsozialistischen Vorgehens aufmerksam: Auf der einen Seite </w:t>
      </w:r>
      <w:r w:rsidR="002E59DA">
        <w:t xml:space="preserve">wird </w:t>
      </w:r>
      <w:r w:rsidR="00560AF2">
        <w:t xml:space="preserve">in </w:t>
      </w:r>
      <w:r w:rsidR="002E59DA">
        <w:t>Anz</w:t>
      </w:r>
      <w:r w:rsidR="00560AF2">
        <w:t>eigen und Prospekte</w:t>
      </w:r>
      <w:r w:rsidR="00C25894">
        <w:t>n</w:t>
      </w:r>
      <w:r w:rsidR="00560AF2">
        <w:t xml:space="preserve"> </w:t>
      </w:r>
      <w:r w:rsidR="002E59DA">
        <w:t xml:space="preserve">der Reichsbank, deren Präsident Hjalmar Schacht ist, </w:t>
      </w:r>
      <w:r w:rsidR="00560AF2">
        <w:t>darauf hingewiesen, das</w:t>
      </w:r>
      <w:r w:rsidR="002E59DA">
        <w:t xml:space="preserve">s auch jüdische Bankhäuser an der Lancierung der aktuellen öffentlichen Anleihen beteiligt sind, </w:t>
      </w:r>
      <w:r w:rsidR="00C25894">
        <w:t xml:space="preserve">es wird </w:t>
      </w:r>
      <w:r w:rsidR="002E59DA">
        <w:t xml:space="preserve">also der Anschein von „Normalität“ und rechtlicher Gleichberechtigung erweckt; auf der anderen Seite ist </w:t>
      </w:r>
      <w:r w:rsidR="00C25894">
        <w:t xml:space="preserve">aber </w:t>
      </w:r>
      <w:r w:rsidR="002E59DA">
        <w:t>b</w:t>
      </w:r>
      <w:r w:rsidR="002E59DA">
        <w:t>e</w:t>
      </w:r>
      <w:r w:rsidR="002E59DA">
        <w:t>reits erkennbar, dass aufgrund der Ausführungsbestimmungen zu den Nürnberger Gesetzen</w:t>
      </w:r>
      <w:r w:rsidR="00A115BE">
        <w:t>, über die berichtet wird,</w:t>
      </w:r>
      <w:r w:rsidR="002E59DA">
        <w:t xml:space="preserve"> die jüdischen Banken demnächst liquidiert und die jüdischen Banka</w:t>
      </w:r>
      <w:r w:rsidR="002E59DA">
        <w:t>n</w:t>
      </w:r>
      <w:r w:rsidR="002E59DA">
        <w:t>gestellten ausscheiden</w:t>
      </w:r>
      <w:r w:rsidR="00A115BE">
        <w:t xml:space="preserve"> werden</w:t>
      </w:r>
      <w:r w:rsidR="002E59DA">
        <w:t>.</w:t>
      </w:r>
      <w:r w:rsidR="002E59DA">
        <w:rPr>
          <w:rStyle w:val="Funotenzeichen"/>
        </w:rPr>
        <w:footnoteReference w:id="26"/>
      </w:r>
      <w:r w:rsidR="00A115BE">
        <w:t xml:space="preserve"> Die endgültige Austreibung der Juden ist </w:t>
      </w:r>
      <w:r w:rsidR="00C25894">
        <w:t xml:space="preserve">also </w:t>
      </w:r>
      <w:r w:rsidR="00A115BE">
        <w:t>bereits abse</w:t>
      </w:r>
      <w:r w:rsidR="00A115BE">
        <w:t>h</w:t>
      </w:r>
      <w:r w:rsidR="00A115BE">
        <w:t>bar. Ihr ist ein gesondertes Kapitel mit entsprechenden Belegen gewidmet.</w:t>
      </w:r>
      <w:r w:rsidR="00A115BE">
        <w:rPr>
          <w:rStyle w:val="Funotenzeichen"/>
        </w:rPr>
        <w:footnoteReference w:id="27"/>
      </w:r>
      <w:r w:rsidR="00A115BE">
        <w:t xml:space="preserve"> Auf Illusionen basiert jedoch das abschließende Kapitel „Das andere Deutschland“. Es steuert auf die Auss</w:t>
      </w:r>
      <w:r w:rsidR="00A115BE">
        <w:t>a</w:t>
      </w:r>
      <w:r w:rsidR="00A115BE">
        <w:t>ge zu, dass das Volk Widerstand gegen die Austreibung der Juden leistet: „Das Volk ist gegen die Judenhetze“</w:t>
      </w:r>
      <w:r w:rsidR="00C25894">
        <w:t>.</w:t>
      </w:r>
      <w:r w:rsidR="00A115BE">
        <w:rPr>
          <w:rStyle w:val="Funotenzeichen"/>
        </w:rPr>
        <w:footnoteReference w:id="28"/>
      </w:r>
      <w:r w:rsidR="00A115BE">
        <w:t xml:space="preserve"> Hier unterliegt die sonst sehr realitätsbezogene Herausgeberin einer allzu optimistischen Selbsttäuschung</w:t>
      </w:r>
      <w:r w:rsidR="00C25894">
        <w:t xml:space="preserve"> – oder, was auch denkbar ist, sie formuliert nicht die eigene Meinung, sondern die Auffassung der Partei zu diesen Vorgängen</w:t>
      </w:r>
      <w:r w:rsidR="00A115BE">
        <w:t>.</w:t>
      </w:r>
    </w:p>
    <w:p w:rsidR="00A115BE" w:rsidRDefault="00A115BE" w:rsidP="003C6AE4">
      <w:pPr>
        <w:spacing w:after="0"/>
        <w:ind w:firstLine="708"/>
        <w:jc w:val="both"/>
      </w:pPr>
      <w:r>
        <w:t xml:space="preserve">Diese Ambivalenz zeichnet auch Lion Feuchtwangers Vorwort aus. </w:t>
      </w:r>
      <w:r w:rsidR="00510EC7">
        <w:t>Auf der einen Se</w:t>
      </w:r>
      <w:r w:rsidR="00510EC7">
        <w:t>i</w:t>
      </w:r>
      <w:r w:rsidR="00510EC7">
        <w:t>te unterstreicht Feuchtwanger den klaren Befund, de</w:t>
      </w:r>
      <w:r w:rsidR="00C25894">
        <w:t xml:space="preserve">n </w:t>
      </w:r>
      <w:r w:rsidR="00510EC7">
        <w:t xml:space="preserve">die Dokumentation </w:t>
      </w:r>
      <w:r w:rsidR="00C25894">
        <w:t>vermittel</w:t>
      </w:r>
      <w:r w:rsidR="00510EC7">
        <w:t>t, auf der anderen Seite jedoch spricht er beschönigend von der „Narrheit“ des NS-Systems</w:t>
      </w:r>
      <w:r w:rsidR="00E47090">
        <w:t>, also so, als ob die Konsequenzen, die aus der Dokumentation ersichtlich werden, nicht auf rationalen Planungen beruhen würden</w:t>
      </w:r>
      <w:r w:rsidR="005C7EFE">
        <w:t>. Z</w:t>
      </w:r>
      <w:r w:rsidR="00510EC7">
        <w:t xml:space="preserve">udem relativiert er den Stellenwert der Judenverfolgung, indem er anmerkt, dass es „in diesem </w:t>
      </w:r>
      <w:r w:rsidR="00E47090">
        <w:t xml:space="preserve">Deutschland </w:t>
      </w:r>
      <w:r w:rsidR="00510EC7">
        <w:t xml:space="preserve">noch </w:t>
      </w:r>
      <w:proofErr w:type="spellStart"/>
      <w:r w:rsidR="00510EC7">
        <w:t>scheusslichere</w:t>
      </w:r>
      <w:proofErr w:type="spellEnd"/>
      <w:r w:rsidR="00510EC7">
        <w:t xml:space="preserve"> Dinge als die Judenverfo</w:t>
      </w:r>
      <w:r w:rsidR="00510EC7">
        <w:t>l</w:t>
      </w:r>
      <w:r w:rsidR="00510EC7">
        <w:t>gungen“ gibt</w:t>
      </w:r>
      <w:r w:rsidR="00E47090">
        <w:t>, „Dinge, welche die Zivilisation der Welt gefährlicher bedrohen als die system</w:t>
      </w:r>
      <w:r w:rsidR="00E47090">
        <w:t>a</w:t>
      </w:r>
      <w:r w:rsidR="00E47090">
        <w:t>tische Vernichtung einer halben Million hochzivilisierter Europäer.“</w:t>
      </w:r>
      <w:r w:rsidR="005C7EFE">
        <w:t xml:space="preserve"> </w:t>
      </w:r>
      <w:r w:rsidR="00E47090">
        <w:t>Feuchtwanger spricht hier mit dem Terminus „Vernichtung“ die drohende Gefahr konkret an. Aber was wäre ta</w:t>
      </w:r>
      <w:r w:rsidR="00E47090">
        <w:t>t</w:t>
      </w:r>
      <w:r w:rsidR="00E47090">
        <w:t xml:space="preserve">sächlich scheußlicher? </w:t>
      </w:r>
      <w:r w:rsidR="003E7D1F">
        <w:t>Der kommende Krieg mit seinen Millionen von Opfern – oder die Vernichtung der Gesamtheit der europäischen Juden? Derartige Konsequenzen hat Feuch</w:t>
      </w:r>
      <w:r w:rsidR="003E7D1F">
        <w:t>t</w:t>
      </w:r>
      <w:r w:rsidR="003E7D1F">
        <w:t>wanger zu diesem Zeitpunkt vermutlich nicht vor Au</w:t>
      </w:r>
      <w:r w:rsidR="005C7EFE">
        <w:t xml:space="preserve">Problematisch ist vor allem die </w:t>
      </w:r>
      <w:r w:rsidR="00E47090">
        <w:t>Termin</w:t>
      </w:r>
      <w:r w:rsidR="00E47090">
        <w:t>o</w:t>
      </w:r>
      <w:r w:rsidR="00E47090">
        <w:t>logie</w:t>
      </w:r>
      <w:r w:rsidR="005C7EFE">
        <w:t xml:space="preserve">, </w:t>
      </w:r>
      <w:r w:rsidR="00E47090">
        <w:t>mit der</w:t>
      </w:r>
      <w:r w:rsidR="005C7EFE">
        <w:t xml:space="preserve"> Feuchtwanger </w:t>
      </w:r>
      <w:r w:rsidR="00E47090">
        <w:t>operier</w:t>
      </w:r>
      <w:r w:rsidR="005C7EFE">
        <w:t>t: der Begriff der „Narrheit“ auf der einen Seite, der der „Vernunft“ auf der anderen Seite. Diese Begrifflichkeit reicht nicht, um die Komplexität des Geschehens zu beschreiben</w:t>
      </w:r>
      <w:r w:rsidR="00510EC7">
        <w:t>:</w:t>
      </w:r>
    </w:p>
    <w:p w:rsidR="00510EC7" w:rsidRDefault="00510EC7" w:rsidP="003C6AE4">
      <w:pPr>
        <w:spacing w:after="0"/>
        <w:ind w:left="1134"/>
        <w:jc w:val="both"/>
      </w:pPr>
      <w:r>
        <w:t>„Sicher geschehen in diesem Deutschl</w:t>
      </w:r>
      <w:r w:rsidR="005C7EFE">
        <w:t>a</w:t>
      </w:r>
      <w:r>
        <w:t xml:space="preserve">nd noch </w:t>
      </w:r>
      <w:proofErr w:type="spellStart"/>
      <w:r>
        <w:t>scheusslichere</w:t>
      </w:r>
      <w:proofErr w:type="spellEnd"/>
      <w:r>
        <w:t xml:space="preserve"> Dinge als die J</w:t>
      </w:r>
      <w:r>
        <w:t>u</w:t>
      </w:r>
      <w:r>
        <w:t xml:space="preserve">denverfolgungen, von denen dieses Buch berichtet, Dinge, welche die Zivilisation der Welt gefährlicher bedrohen als die systematische Vernichtung einer halben Million hochzivilisierter Europäer. Aber die Narrheit und Lumperei des Systems verbirgt sich in jenen anderen Ereignissen tiefer unter der Oberfläche: hier, in dem </w:t>
      </w:r>
      <w:proofErr w:type="spellStart"/>
      <w:r>
        <w:t>grossen</w:t>
      </w:r>
      <w:proofErr w:type="spellEnd"/>
      <w:r>
        <w:t xml:space="preserve">, fortgesetzten, behördlich organisierten und geförderten Pogrom [!], liegt sie klar zu Tage, der ganzen Welt sichtbar. Denn dieser Pogrom wird ja nicht nur aus wirtschaftlichen, sozialen und politischen Motiven unternommen: zum </w:t>
      </w:r>
      <w:proofErr w:type="spellStart"/>
      <w:r>
        <w:t>grös</w:t>
      </w:r>
      <w:r>
        <w:t>s</w:t>
      </w:r>
      <w:r>
        <w:lastRenderedPageBreak/>
        <w:t>ten</w:t>
      </w:r>
      <w:proofErr w:type="spellEnd"/>
      <w:r>
        <w:t xml:space="preserve"> Teil geschehen die bestialischen Dinge, die er mit sich bringt, aus tiefer Fein</w:t>
      </w:r>
      <w:r>
        <w:t>d</w:t>
      </w:r>
      <w:r>
        <w:t>schaft gegen die Vernunft, aus schierem Wahn, aus reiner Freude an der Brutal</w:t>
      </w:r>
      <w:r>
        <w:t>i</w:t>
      </w:r>
      <w:r>
        <w:t xml:space="preserve">tät, an der Besudelung der Menschenwürde, an der Erniedrigung des andern, aus </w:t>
      </w:r>
      <w:proofErr w:type="spellStart"/>
      <w:r>
        <w:t>Nächstenhass</w:t>
      </w:r>
      <w:proofErr w:type="spellEnd"/>
      <w:r>
        <w:t>.“</w:t>
      </w:r>
      <w:r w:rsidR="005C7EFE">
        <w:rPr>
          <w:rStyle w:val="Funotenzeichen"/>
        </w:rPr>
        <w:footnoteReference w:id="29"/>
      </w:r>
    </w:p>
    <w:p w:rsidR="00510EC7" w:rsidRDefault="00510EC7" w:rsidP="003C6AE4">
      <w:pPr>
        <w:spacing w:after="0"/>
        <w:ind w:firstLine="708"/>
        <w:jc w:val="both"/>
      </w:pPr>
      <w:r>
        <w:t>Es folgt eine erneute Re</w:t>
      </w:r>
      <w:r w:rsidR="005C7EFE">
        <w:t>lativierung:</w:t>
      </w:r>
    </w:p>
    <w:p w:rsidR="005C7EFE" w:rsidRDefault="005C7EFE" w:rsidP="003C6AE4">
      <w:pPr>
        <w:spacing w:after="0"/>
        <w:ind w:left="1134"/>
        <w:jc w:val="both"/>
      </w:pPr>
      <w:r>
        <w:t>„Tröstlich bleibt Ei</w:t>
      </w:r>
      <w:r w:rsidR="00A60A86">
        <w:t>n</w:t>
      </w:r>
      <w:r>
        <w:t>es. Immer wieder finden sich in den hier zusammengestellten Berichten kleine Geschehnisse verzeichnet, die beweisen, dass weite Teile der Bevölkerung [!] nicht einverstanden sind mit dem, was sich heute in Deutschland ereignet. Verweilen Sie bei diesen Episoden, Leser. Lesen Sie nicht über sie hi</w:t>
      </w:r>
      <w:r>
        <w:t>n</w:t>
      </w:r>
      <w:r>
        <w:t>weg. Verallgemeinern Sie nicht. […] Das deutsche Volk ist nicht identisch mit den Leuten, die heute vorgeben, es zu vertreten. Es wehrt sich gegen sie.“</w:t>
      </w:r>
      <w:r>
        <w:rPr>
          <w:rStyle w:val="Funotenzeichen"/>
        </w:rPr>
        <w:footnoteReference w:id="30"/>
      </w:r>
    </w:p>
    <w:p w:rsidR="00510EC7" w:rsidRPr="00B513F9" w:rsidRDefault="00A60A86" w:rsidP="003C6AE4">
      <w:pPr>
        <w:spacing w:after="0"/>
        <w:jc w:val="both"/>
      </w:pPr>
      <w:r>
        <w:t>Feuchtwanger</w:t>
      </w:r>
      <w:r w:rsidR="008250F2">
        <w:t>,</w:t>
      </w:r>
      <w:r>
        <w:t xml:space="preserve"> Heinrich Mann und andere setzen ihre Hoffnung auf den „Sieg der Vernunft“ und des „anderen Deutschlands“. Situationsgerecht </w:t>
      </w:r>
      <w:r w:rsidR="008250F2">
        <w:t>war</w:t>
      </w:r>
      <w:r>
        <w:t xml:space="preserve"> diese Haltung nicht.</w:t>
      </w:r>
      <w:r w:rsidR="008250F2">
        <w:t xml:space="preserve"> Nicht die Unve</w:t>
      </w:r>
      <w:r w:rsidR="008250F2">
        <w:t>r</w:t>
      </w:r>
      <w:r w:rsidR="008250F2">
        <w:t xml:space="preserve">nunft, sondern die </w:t>
      </w:r>
      <w:r w:rsidR="008250F2" w:rsidRPr="008250F2">
        <w:rPr>
          <w:i/>
        </w:rPr>
        <w:t xml:space="preserve">Gewalt </w:t>
      </w:r>
      <w:r w:rsidR="008250F2">
        <w:t>war das Instrument, das das System des NS-Staates strukturierte. Gewalt tritt jedoch in unterschiedlichen Erscheinungsformen auf: als physischer Terror, aber auch in Form der zunächst nicht erkennbaren Form: als Aufhebung jedweden rechtlichen Schutzes.</w:t>
      </w:r>
      <w:bookmarkEnd w:id="0"/>
    </w:p>
    <w:sectPr w:rsidR="00510EC7" w:rsidRPr="00B513F9"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DE" w:rsidRDefault="00C80DDE" w:rsidP="00BA0DE7">
      <w:pPr>
        <w:spacing w:after="0" w:line="240" w:lineRule="auto"/>
      </w:pPr>
      <w:r>
        <w:separator/>
      </w:r>
    </w:p>
  </w:endnote>
  <w:endnote w:type="continuationSeparator" w:id="0">
    <w:p w:rsidR="00C80DDE" w:rsidRDefault="00C80DDE" w:rsidP="00BA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DE" w:rsidRDefault="00C80DDE" w:rsidP="00BA0DE7">
      <w:pPr>
        <w:spacing w:after="0" w:line="240" w:lineRule="auto"/>
      </w:pPr>
      <w:r>
        <w:separator/>
      </w:r>
    </w:p>
  </w:footnote>
  <w:footnote w:type="continuationSeparator" w:id="0">
    <w:p w:rsidR="00C80DDE" w:rsidRDefault="00C80DDE" w:rsidP="00BA0DE7">
      <w:pPr>
        <w:spacing w:after="0" w:line="240" w:lineRule="auto"/>
      </w:pPr>
      <w:r>
        <w:continuationSeparator/>
      </w:r>
    </w:p>
  </w:footnote>
  <w:footnote w:id="1">
    <w:p w:rsidR="00E47090" w:rsidRPr="00990544" w:rsidRDefault="00E47090">
      <w:pPr>
        <w:pStyle w:val="Funotentext"/>
      </w:pPr>
      <w:r>
        <w:rPr>
          <w:rStyle w:val="Funotenzeichen"/>
        </w:rPr>
        <w:footnoteRef/>
      </w:r>
      <w:r>
        <w:t xml:space="preserve"> Ian Kershaw weist darauf hin, dass Hitler anfangs Befürchtungen hinsichtlich einer militärischen Intervention hatte. Diese Befürchtungen erwiesen sich aufgrund der Sachlage jedoch als unbegründet. Vgl. Ian Kershaw: </w:t>
      </w:r>
      <w:r>
        <w:rPr>
          <w:i/>
        </w:rPr>
        <w:t>Hitler</w:t>
      </w:r>
      <w:r>
        <w:t>. 1889 – 1936. Frankfurt a.M. 1999, S. 621.</w:t>
      </w:r>
    </w:p>
  </w:footnote>
  <w:footnote w:id="2">
    <w:p w:rsidR="00E47090" w:rsidRDefault="00E47090">
      <w:pPr>
        <w:pStyle w:val="Funotentext"/>
      </w:pPr>
      <w:r>
        <w:rPr>
          <w:rStyle w:val="Funotenzeichen"/>
        </w:rPr>
        <w:footnoteRef/>
      </w:r>
      <w:r>
        <w:t xml:space="preserve"> Horst </w:t>
      </w:r>
      <w:proofErr w:type="spellStart"/>
      <w:r>
        <w:t>Duhnke</w:t>
      </w:r>
      <w:proofErr w:type="spellEnd"/>
      <w:r>
        <w:t xml:space="preserve">: </w:t>
      </w:r>
      <w:r>
        <w:rPr>
          <w:i/>
        </w:rPr>
        <w:t>Die KPD von 1933 bis 1945.</w:t>
      </w:r>
      <w:r>
        <w:t xml:space="preserve"> Köln 1972, S. 68 ff.</w:t>
      </w:r>
    </w:p>
  </w:footnote>
  <w:footnote w:id="3">
    <w:p w:rsidR="00E47090" w:rsidRDefault="00E47090">
      <w:pPr>
        <w:pStyle w:val="Funotentext"/>
      </w:pPr>
      <w:r>
        <w:rPr>
          <w:rStyle w:val="Funotenzeichen"/>
        </w:rPr>
        <w:footnoteRef/>
      </w:r>
      <w:r>
        <w:t xml:space="preserve"> Einen Niederschlag findet diese </w:t>
      </w:r>
      <w:r w:rsidR="001B6543">
        <w:t>A</w:t>
      </w:r>
      <w:r>
        <w:t>uffassung sowohl bei Brecht (</w:t>
      </w:r>
      <w:r w:rsidRPr="00A4128C">
        <w:rPr>
          <w:i/>
        </w:rPr>
        <w:t>Die Rundköpfe und die Spitzköpfe</w:t>
      </w:r>
      <w:r>
        <w:t xml:space="preserve">) als auch bei Kurt </w:t>
      </w:r>
      <w:proofErr w:type="gramStart"/>
      <w:r>
        <w:t xml:space="preserve">Tucholsky </w:t>
      </w:r>
      <w:r w:rsidR="001B6543">
        <w:t>:</w:t>
      </w:r>
      <w:proofErr w:type="gramEnd"/>
      <w:r w:rsidRPr="00A4128C">
        <w:rPr>
          <w:i/>
        </w:rPr>
        <w:t>Die Q-Tagebücher</w:t>
      </w:r>
      <w:r>
        <w:t>, S. 149.</w:t>
      </w:r>
    </w:p>
  </w:footnote>
  <w:footnote w:id="4">
    <w:p w:rsidR="00E47090" w:rsidRPr="008009CD" w:rsidRDefault="00E47090">
      <w:pPr>
        <w:pStyle w:val="Funotentext"/>
      </w:pPr>
      <w:r>
        <w:rPr>
          <w:rStyle w:val="Funotenzeichen"/>
        </w:rPr>
        <w:footnoteRef/>
      </w:r>
      <w:r>
        <w:t xml:space="preserve"> Zu Details vgl. Hans-Albert Walter: </w:t>
      </w:r>
      <w:r>
        <w:rPr>
          <w:i/>
        </w:rPr>
        <w:t>Deutsche Exilliteratur 1933-1950.</w:t>
      </w:r>
      <w:r>
        <w:t xml:space="preserve"> Bd. 4: </w:t>
      </w:r>
      <w:r>
        <w:rPr>
          <w:i/>
        </w:rPr>
        <w:t>Exilpresse.</w:t>
      </w:r>
      <w:r>
        <w:t xml:space="preserve"> Stuttgart 1978, S. 24 ff.</w:t>
      </w:r>
    </w:p>
  </w:footnote>
  <w:footnote w:id="5">
    <w:p w:rsidR="00E47090" w:rsidRDefault="00E47090">
      <w:pPr>
        <w:pStyle w:val="Funotentext"/>
      </w:pPr>
      <w:r>
        <w:rPr>
          <w:rStyle w:val="Funotenzeichen"/>
        </w:rPr>
        <w:footnoteRef/>
      </w:r>
      <w:r>
        <w:t xml:space="preserve"> Thomas A. Eckert: </w:t>
      </w:r>
      <w:r>
        <w:rPr>
          <w:i/>
        </w:rPr>
        <w:t xml:space="preserve">Die neue </w:t>
      </w:r>
      <w:r w:rsidRPr="00E85B15">
        <w:t>Weltbühne</w:t>
      </w:r>
      <w:r>
        <w:t xml:space="preserve"> unter der Leitung von Hermann </w:t>
      </w:r>
      <w:proofErr w:type="spellStart"/>
      <w:r>
        <w:t>Budzislawski</w:t>
      </w:r>
      <w:proofErr w:type="spellEnd"/>
      <w:r>
        <w:t xml:space="preserve"> – im „Fahrwasser der KPD“? In: </w:t>
      </w:r>
      <w:proofErr w:type="spellStart"/>
      <w:r>
        <w:rPr>
          <w:i/>
        </w:rPr>
        <w:t>Autour</w:t>
      </w:r>
      <w:proofErr w:type="spellEnd"/>
      <w:r>
        <w:rPr>
          <w:i/>
        </w:rPr>
        <w:t xml:space="preserve"> du „Front </w:t>
      </w:r>
      <w:proofErr w:type="spellStart"/>
      <w:r>
        <w:rPr>
          <w:i/>
        </w:rPr>
        <w:t>Populaire</w:t>
      </w:r>
      <w:proofErr w:type="spellEnd"/>
      <w:r>
        <w:rPr>
          <w:i/>
        </w:rPr>
        <w:t xml:space="preserve"> </w:t>
      </w:r>
      <w:proofErr w:type="spellStart"/>
      <w:r>
        <w:rPr>
          <w:i/>
        </w:rPr>
        <w:t>Allemand</w:t>
      </w:r>
      <w:proofErr w:type="spellEnd"/>
      <w:r>
        <w:rPr>
          <w:i/>
        </w:rPr>
        <w:t xml:space="preserve">. Einheitsfront – Volksfront. </w:t>
      </w:r>
      <w:r>
        <w:t>Hrsg. von Michel Grunewald u. Frithjof Trapp. Bern 1990, S. 111 - 131, hier S. 116.</w:t>
      </w:r>
    </w:p>
  </w:footnote>
  <w:footnote w:id="6">
    <w:p w:rsidR="00E47090" w:rsidRPr="00E85B15" w:rsidRDefault="00E47090">
      <w:pPr>
        <w:pStyle w:val="Funotentext"/>
      </w:pPr>
      <w:r>
        <w:rPr>
          <w:rStyle w:val="Funotenzeichen"/>
        </w:rPr>
        <w:footnoteRef/>
      </w:r>
      <w:r>
        <w:t xml:space="preserve"> Vgl. Hans-Albert Walter: </w:t>
      </w:r>
      <w:r>
        <w:rPr>
          <w:i/>
        </w:rPr>
        <w:t>Exilpresse,</w:t>
      </w:r>
      <w:r>
        <w:t xml:space="preserve"> a.a.O.</w:t>
      </w:r>
    </w:p>
  </w:footnote>
  <w:footnote w:id="7">
    <w:p w:rsidR="00E47090" w:rsidRPr="008F5C87" w:rsidRDefault="00E47090">
      <w:pPr>
        <w:pStyle w:val="Funotentext"/>
      </w:pPr>
      <w:r>
        <w:rPr>
          <w:rStyle w:val="Funotenzeichen"/>
        </w:rPr>
        <w:footnoteRef/>
      </w:r>
      <w:r>
        <w:t xml:space="preserve"> Rudolf </w:t>
      </w:r>
      <w:proofErr w:type="spellStart"/>
      <w:r>
        <w:t>Olden</w:t>
      </w:r>
      <w:proofErr w:type="spellEnd"/>
      <w:r>
        <w:t xml:space="preserve"> schreibt in einem Brief an Hermann </w:t>
      </w:r>
      <w:proofErr w:type="spellStart"/>
      <w:r>
        <w:t>Budzislawski</w:t>
      </w:r>
      <w:proofErr w:type="spellEnd"/>
      <w:r>
        <w:t xml:space="preserve"> vom 13. Juli 1934: „Lieber Herr </w:t>
      </w:r>
      <w:proofErr w:type="spellStart"/>
      <w:r>
        <w:t>Budzislawski</w:t>
      </w:r>
      <w:proofErr w:type="spellEnd"/>
      <w:r>
        <w:t xml:space="preserve">, ein kleiner Irrtum </w:t>
      </w:r>
      <w:proofErr w:type="spellStart"/>
      <w:r>
        <w:t>muß</w:t>
      </w:r>
      <w:proofErr w:type="spellEnd"/>
      <w:r>
        <w:t xml:space="preserve"> richtig gestellt werden. Ich habe nicht die Vermutung ausgesprochen, </w:t>
      </w:r>
      <w:proofErr w:type="spellStart"/>
      <w:r>
        <w:t>daß</w:t>
      </w:r>
      <w:proofErr w:type="spellEnd"/>
      <w:r>
        <w:t xml:space="preserve"> Sie die Wel</w:t>
      </w:r>
      <w:r>
        <w:t>t</w:t>
      </w:r>
      <w:r>
        <w:t xml:space="preserve">bühne ‚im Auftrag Münzenbergs‘ redigieren. So primitiv stelle ich mir die Weltgeschichte nicht vor. Sondern </w:t>
      </w:r>
      <w:proofErr w:type="spellStart"/>
      <w:r>
        <w:t>daß</w:t>
      </w:r>
      <w:proofErr w:type="spellEnd"/>
      <w:r>
        <w:t xml:space="preserve"> Sie versuchen, sie im Einklang mit einer Komintern-Lösung [zu] redigieren. Wenn Sie zur Einheitsfront aufriefen – was ich, scheint mir zweimal las –, so schien mir damit die Einheitsfront der KP gemeint zu sein. Der Ton, der Stil, gewisse Weglassungen schienen mir dafür zu sprechen. Irre ich mich?“ – In: Frithjof Trapp, Knut Bergmann, Bettina </w:t>
      </w:r>
      <w:proofErr w:type="spellStart"/>
      <w:r>
        <w:t>Herre</w:t>
      </w:r>
      <w:proofErr w:type="spellEnd"/>
      <w:r>
        <w:t xml:space="preserve">: </w:t>
      </w:r>
      <w:r>
        <w:rPr>
          <w:i/>
        </w:rPr>
        <w:t xml:space="preserve">Carl von Ossietzky und das politische Exil. </w:t>
      </w:r>
      <w:r w:rsidRPr="008F5C87">
        <w:t xml:space="preserve">Die </w:t>
      </w:r>
      <w:r>
        <w:t>Arbeit des ‚Freundeskreises Carl von Ossietzky‘ in den Jahren 1933</w:t>
      </w:r>
      <w:r w:rsidRPr="008F5C87">
        <w:t xml:space="preserve"> </w:t>
      </w:r>
      <w:r>
        <w:t>– 1936. Hamburg 1988, S. 26.</w:t>
      </w:r>
    </w:p>
  </w:footnote>
  <w:footnote w:id="8">
    <w:p w:rsidR="00E47090" w:rsidRPr="00526659" w:rsidRDefault="00E47090">
      <w:pPr>
        <w:pStyle w:val="Funotentext"/>
      </w:pPr>
      <w:r>
        <w:rPr>
          <w:rStyle w:val="Funotenzeichen"/>
        </w:rPr>
        <w:footnoteRef/>
      </w:r>
      <w:r>
        <w:t xml:space="preserve"> Rudolf </w:t>
      </w:r>
      <w:proofErr w:type="spellStart"/>
      <w:r>
        <w:t>Olden</w:t>
      </w:r>
      <w:proofErr w:type="spellEnd"/>
      <w:r>
        <w:t xml:space="preserve">: </w:t>
      </w:r>
      <w:r>
        <w:rPr>
          <w:i/>
        </w:rPr>
        <w:t>Das Wunderbare oder Die Verzauberten.</w:t>
      </w:r>
      <w:r>
        <w:t xml:space="preserve"> Propheten in deutscher Krise. Eine Sammlung. Berlin 1932.</w:t>
      </w:r>
    </w:p>
  </w:footnote>
  <w:footnote w:id="9">
    <w:p w:rsidR="00E47090" w:rsidRDefault="00E47090">
      <w:pPr>
        <w:pStyle w:val="Funotentext"/>
      </w:pPr>
      <w:r>
        <w:rPr>
          <w:rStyle w:val="Funotenzeichen"/>
        </w:rPr>
        <w:footnoteRef/>
      </w:r>
      <w:r>
        <w:t xml:space="preserve"> So Babette Gross: </w:t>
      </w:r>
      <w:r>
        <w:rPr>
          <w:i/>
        </w:rPr>
        <w:t>Willi Münzenberg. Eine politische Biografie.</w:t>
      </w:r>
      <w:r>
        <w:t xml:space="preserve"> Leipzig 1991 (EA Stuttgart 1967), S. 376. </w:t>
      </w:r>
    </w:p>
  </w:footnote>
  <w:footnote w:id="10">
    <w:p w:rsidR="00E47090" w:rsidRDefault="00E47090">
      <w:pPr>
        <w:pStyle w:val="Funotentext"/>
      </w:pPr>
      <w:r>
        <w:rPr>
          <w:rStyle w:val="Funotenzeichen"/>
        </w:rPr>
        <w:footnoteRef/>
      </w:r>
      <w:r>
        <w:t xml:space="preserve"> Ebd.</w:t>
      </w:r>
    </w:p>
  </w:footnote>
  <w:footnote w:id="11">
    <w:p w:rsidR="00E47090" w:rsidRDefault="00E47090">
      <w:pPr>
        <w:pStyle w:val="Funotentext"/>
      </w:pPr>
      <w:r>
        <w:rPr>
          <w:rStyle w:val="Funotenzeichen"/>
        </w:rPr>
        <w:footnoteRef/>
      </w:r>
      <w:r>
        <w:t xml:space="preserve"> Ebd., Hervorhebung – F.T.</w:t>
      </w:r>
    </w:p>
  </w:footnote>
  <w:footnote w:id="12">
    <w:p w:rsidR="00E47090" w:rsidRDefault="00E47090">
      <w:pPr>
        <w:pStyle w:val="Funotentext"/>
      </w:pPr>
      <w:r>
        <w:rPr>
          <w:rStyle w:val="Funotenzeichen"/>
        </w:rPr>
        <w:footnoteRef/>
      </w:r>
      <w:r>
        <w:t xml:space="preserve"> S. 378.</w:t>
      </w:r>
    </w:p>
  </w:footnote>
  <w:footnote w:id="13">
    <w:p w:rsidR="00E47090" w:rsidRPr="00093EF1" w:rsidRDefault="00E47090">
      <w:pPr>
        <w:pStyle w:val="Funotentext"/>
      </w:pPr>
      <w:r>
        <w:rPr>
          <w:rStyle w:val="Funotenzeichen"/>
        </w:rPr>
        <w:footnoteRef/>
      </w:r>
      <w:r>
        <w:t xml:space="preserve"> Arthur Koestler: </w:t>
      </w:r>
      <w:r>
        <w:rPr>
          <w:i/>
        </w:rPr>
        <w:t>Die Geheimschrift</w:t>
      </w:r>
      <w:r>
        <w:t>, zitiert bei Babette Gross, a.a.O., S. 380.</w:t>
      </w:r>
    </w:p>
  </w:footnote>
  <w:footnote w:id="14">
    <w:p w:rsidR="00E47090" w:rsidRPr="00346DAF" w:rsidRDefault="00E47090">
      <w:pPr>
        <w:pStyle w:val="Funotentext"/>
      </w:pPr>
      <w:r>
        <w:rPr>
          <w:rStyle w:val="Funotenzeichen"/>
        </w:rPr>
        <w:footnoteRef/>
      </w:r>
      <w:r>
        <w:t xml:space="preserve"> Babette Gross weist darauf hin, dass die Information über das Vorhandensein eines Geheimgangs von Willi Frischauer stammte, die in der </w:t>
      </w:r>
      <w:r>
        <w:rPr>
          <w:i/>
        </w:rPr>
        <w:t>Wiener Allgemeinen Zeitung</w:t>
      </w:r>
      <w:r>
        <w:t xml:space="preserve"> auf dieses Faktum aufmerksam gemacht hatte. Vgl. Babette Gross: </w:t>
      </w:r>
      <w:r w:rsidRPr="003D2278">
        <w:rPr>
          <w:i/>
        </w:rPr>
        <w:t>Willi Münzenberg</w:t>
      </w:r>
      <w:r>
        <w:t>, S. 379.</w:t>
      </w:r>
    </w:p>
  </w:footnote>
  <w:footnote w:id="15">
    <w:p w:rsidR="00E47090" w:rsidRPr="00793E6D" w:rsidRDefault="00E47090">
      <w:pPr>
        <w:pStyle w:val="Funotentext"/>
      </w:pPr>
      <w:r>
        <w:rPr>
          <w:rStyle w:val="Funotenzeichen"/>
        </w:rPr>
        <w:footnoteRef/>
      </w:r>
      <w:r>
        <w:t xml:space="preserve"> Im </w:t>
      </w:r>
      <w:r>
        <w:rPr>
          <w:i/>
        </w:rPr>
        <w:t>Braunbuch</w:t>
      </w:r>
      <w:r>
        <w:t xml:space="preserve"> heißt es: „Von der </w:t>
      </w:r>
      <w:proofErr w:type="spellStart"/>
      <w:r>
        <w:t>Lubbe</w:t>
      </w:r>
      <w:proofErr w:type="spellEnd"/>
      <w:r>
        <w:t xml:space="preserve"> ist für die Tat von den homosexuellen SA-Führern, die in der Bran</w:t>
      </w:r>
      <w:r>
        <w:t>d</w:t>
      </w:r>
      <w:r>
        <w:t>stifterkolonne mitmarschierten, als Werkzeug empfohlen worden. Durch seine Person sollte bei der Brandsti</w:t>
      </w:r>
      <w:r>
        <w:t>f</w:t>
      </w:r>
      <w:r>
        <w:t>tung der Kommunismus dargestellt werden. Diesem eitlen, ruhmsüchtigen, halbblinden Werkzeug klar zu m</w:t>
      </w:r>
      <w:r>
        <w:t>a</w:t>
      </w:r>
      <w:r>
        <w:t>chen, dass es für eine ‚</w:t>
      </w:r>
      <w:proofErr w:type="spellStart"/>
      <w:r>
        <w:t>grosse</w:t>
      </w:r>
      <w:proofErr w:type="spellEnd"/>
      <w:r>
        <w:t xml:space="preserve"> Rolle‘ ausersehen sei, war leicht.“ Vgl. </w:t>
      </w:r>
      <w:r>
        <w:rPr>
          <w:i/>
        </w:rPr>
        <w:t>Braunbuch über Reichstagsbrand und Hitler-Terror.</w:t>
      </w:r>
      <w:r>
        <w:t xml:space="preserve"> Basel: Universum-Bücherei 1933, S. 125 f.</w:t>
      </w:r>
    </w:p>
  </w:footnote>
  <w:footnote w:id="16">
    <w:p w:rsidR="00E47090" w:rsidRDefault="00E47090">
      <w:pPr>
        <w:pStyle w:val="Funotentext"/>
      </w:pPr>
      <w:r>
        <w:rPr>
          <w:rStyle w:val="Funotenzeichen"/>
        </w:rPr>
        <w:footnoteRef/>
      </w:r>
      <w:r>
        <w:t xml:space="preserve"> Babette Gross distanziert sich von diesem Vorgehen (a.a.O., S. 378 f.), schiebt jedoch in recht vordergründiger Weise die Verantwortung dafür Otto Katz (André Simone) zu, dem innerparteilichen Rivalen Münzenbergs.</w:t>
      </w:r>
    </w:p>
  </w:footnote>
  <w:footnote w:id="17">
    <w:p w:rsidR="00E47090" w:rsidRDefault="00E47090" w:rsidP="006F12B3">
      <w:pPr>
        <w:spacing w:after="0" w:line="240" w:lineRule="auto"/>
      </w:pPr>
      <w:r>
        <w:rPr>
          <w:rStyle w:val="Funotenzeichen"/>
        </w:rPr>
        <w:footnoteRef/>
      </w:r>
      <w:r>
        <w:t xml:space="preserve"> </w:t>
      </w:r>
      <w:r w:rsidRPr="006F12B3">
        <w:rPr>
          <w:i/>
          <w:sz w:val="20"/>
          <w:szCs w:val="20"/>
        </w:rPr>
        <w:t xml:space="preserve">Das Schwarzbuch. </w:t>
      </w:r>
      <w:r w:rsidRPr="006F12B3">
        <w:rPr>
          <w:sz w:val="20"/>
          <w:szCs w:val="20"/>
        </w:rPr>
        <w:t>Tatsachen und Dokumente. Die Lage der Juden in Deutschland 1933</w:t>
      </w:r>
      <w:r w:rsidRPr="006F12B3">
        <w:rPr>
          <w:i/>
          <w:sz w:val="20"/>
          <w:szCs w:val="20"/>
        </w:rPr>
        <w:t>.</w:t>
      </w:r>
      <w:r w:rsidRPr="006F12B3">
        <w:rPr>
          <w:sz w:val="20"/>
          <w:szCs w:val="20"/>
        </w:rPr>
        <w:t xml:space="preserve"> Hrsg. vom .</w:t>
      </w:r>
      <w:proofErr w:type="spellStart"/>
      <w:r w:rsidRPr="006F12B3">
        <w:rPr>
          <w:sz w:val="20"/>
          <w:szCs w:val="20"/>
        </w:rPr>
        <w:t>Comité</w:t>
      </w:r>
      <w:proofErr w:type="spellEnd"/>
      <w:r w:rsidRPr="006F12B3">
        <w:rPr>
          <w:sz w:val="20"/>
          <w:szCs w:val="20"/>
        </w:rPr>
        <w:t xml:space="preserve"> des </w:t>
      </w:r>
      <w:proofErr w:type="spellStart"/>
      <w:r w:rsidRPr="006F12B3">
        <w:rPr>
          <w:sz w:val="20"/>
          <w:szCs w:val="20"/>
        </w:rPr>
        <w:t>Délégations</w:t>
      </w:r>
      <w:proofErr w:type="spellEnd"/>
      <w:r w:rsidRPr="006F12B3">
        <w:rPr>
          <w:sz w:val="20"/>
          <w:szCs w:val="20"/>
        </w:rPr>
        <w:t xml:space="preserve"> </w:t>
      </w:r>
      <w:proofErr w:type="spellStart"/>
      <w:r w:rsidRPr="006F12B3">
        <w:rPr>
          <w:sz w:val="20"/>
          <w:szCs w:val="20"/>
        </w:rPr>
        <w:t>Juives</w:t>
      </w:r>
      <w:proofErr w:type="spellEnd"/>
      <w:r w:rsidRPr="006F12B3">
        <w:rPr>
          <w:sz w:val="20"/>
          <w:szCs w:val="20"/>
        </w:rPr>
        <w:t xml:space="preserve">. Paris [Anfang] 1934. </w:t>
      </w:r>
      <w:r>
        <w:rPr>
          <w:sz w:val="20"/>
          <w:szCs w:val="20"/>
        </w:rPr>
        <w:t xml:space="preserve">Hier zitiert nach der </w:t>
      </w:r>
      <w:r w:rsidRPr="006F12B3">
        <w:rPr>
          <w:sz w:val="20"/>
          <w:szCs w:val="20"/>
        </w:rPr>
        <w:t xml:space="preserve">Neuauflage 1983 (Verlag </w:t>
      </w:r>
      <w:proofErr w:type="spellStart"/>
      <w:r w:rsidRPr="006F12B3">
        <w:rPr>
          <w:sz w:val="20"/>
          <w:szCs w:val="20"/>
        </w:rPr>
        <w:t>Ullstein</w:t>
      </w:r>
      <w:proofErr w:type="spellEnd"/>
      <w:r w:rsidRPr="006F12B3">
        <w:rPr>
          <w:sz w:val="20"/>
          <w:szCs w:val="20"/>
        </w:rPr>
        <w:t>. Frankfurt a.M., Berlin, Wien).</w:t>
      </w:r>
    </w:p>
  </w:footnote>
  <w:footnote w:id="18">
    <w:p w:rsidR="00E47090" w:rsidRDefault="00E47090">
      <w:pPr>
        <w:pStyle w:val="Funotentext"/>
      </w:pPr>
      <w:r>
        <w:rPr>
          <w:rStyle w:val="Funotenzeichen"/>
        </w:rPr>
        <w:footnoteRef/>
      </w:r>
      <w:r>
        <w:t xml:space="preserve"> Eine derartig umfassende Dokumentation setzt Zugriffsmöglichkeiten auf die innerdeutsche Presse voraus, die im Ausland vermutlich nur in begrenztem Umfang vorhanden waren. </w:t>
      </w:r>
    </w:p>
  </w:footnote>
  <w:footnote w:id="19">
    <w:p w:rsidR="00E47090" w:rsidRDefault="00E47090">
      <w:pPr>
        <w:pStyle w:val="Funotentext"/>
      </w:pPr>
      <w:r>
        <w:rPr>
          <w:rStyle w:val="Funotenzeichen"/>
        </w:rPr>
        <w:footnoteRef/>
      </w:r>
      <w:r>
        <w:t xml:space="preserve"> Im einleitenden Kapitel des </w:t>
      </w:r>
      <w:r>
        <w:rPr>
          <w:i/>
        </w:rPr>
        <w:t>Schwarzbuchs</w:t>
      </w:r>
      <w:r>
        <w:t xml:space="preserve"> wird unter Berufung auf den tschechoslowakischen Staatspräside</w:t>
      </w:r>
      <w:r>
        <w:t>n</w:t>
      </w:r>
      <w:r>
        <w:t>ten Masaryk gesagt, dass das Problem der Verfolgung und Vertreibung der deutschen Juden „wegen seines i</w:t>
      </w:r>
      <w:r>
        <w:t>n</w:t>
      </w:r>
      <w:r>
        <w:t xml:space="preserve">ternationalen Charakters </w:t>
      </w:r>
      <w:r w:rsidRPr="002642A8">
        <w:rPr>
          <w:i/>
        </w:rPr>
        <w:t xml:space="preserve">international </w:t>
      </w:r>
      <w:r>
        <w:t>beraten werden“ müsse. – A.a.O., S. 20 – Hervorhebung F.T.</w:t>
      </w:r>
    </w:p>
  </w:footnote>
  <w:footnote w:id="20">
    <w:p w:rsidR="00E47090" w:rsidRPr="00204524" w:rsidRDefault="00E47090">
      <w:pPr>
        <w:pStyle w:val="Funotentext"/>
      </w:pPr>
      <w:r>
        <w:rPr>
          <w:rStyle w:val="Funotenzeichen"/>
        </w:rPr>
        <w:footnoteRef/>
      </w:r>
      <w:r>
        <w:t xml:space="preserve"> </w:t>
      </w:r>
      <w:r>
        <w:rPr>
          <w:i/>
        </w:rPr>
        <w:t>Weltgericht über den Judenhass.</w:t>
      </w:r>
      <w:r>
        <w:t xml:space="preserve"> Eine internationale Rundfrage über das Wesen des Antisemitismus. [Hrsg. von Julius Epstein.] Prag: Michael </w:t>
      </w:r>
      <w:proofErr w:type="spellStart"/>
      <w:r>
        <w:t>Kacha</w:t>
      </w:r>
      <w:proofErr w:type="spellEnd"/>
      <w:r>
        <w:t xml:space="preserve"> Verlag [1933].</w:t>
      </w:r>
    </w:p>
  </w:footnote>
  <w:footnote w:id="21">
    <w:p w:rsidR="00E47090" w:rsidRDefault="00E47090">
      <w:pPr>
        <w:pStyle w:val="Funotentext"/>
      </w:pPr>
      <w:r>
        <w:rPr>
          <w:rStyle w:val="Funotenzeichen"/>
        </w:rPr>
        <w:footnoteRef/>
      </w:r>
      <w:r>
        <w:t xml:space="preserve"> A.a.O., S. 87 f.</w:t>
      </w:r>
    </w:p>
  </w:footnote>
  <w:footnote w:id="22">
    <w:p w:rsidR="00E47090" w:rsidRDefault="00E47090">
      <w:pPr>
        <w:pStyle w:val="Funotentext"/>
      </w:pPr>
      <w:r>
        <w:rPr>
          <w:rStyle w:val="Funotenzeichen"/>
        </w:rPr>
        <w:footnoteRef/>
      </w:r>
      <w:r>
        <w:t xml:space="preserve"> Ebd., S. 172; 175.</w:t>
      </w:r>
    </w:p>
  </w:footnote>
  <w:footnote w:id="23">
    <w:p w:rsidR="00E47090" w:rsidRPr="00B513F9" w:rsidRDefault="00E47090">
      <w:pPr>
        <w:pStyle w:val="Funotentext"/>
      </w:pPr>
      <w:r>
        <w:rPr>
          <w:rStyle w:val="Funotenzeichen"/>
        </w:rPr>
        <w:footnoteRef/>
      </w:r>
      <w:r>
        <w:t xml:space="preserve"> </w:t>
      </w:r>
      <w:r>
        <w:rPr>
          <w:i/>
        </w:rPr>
        <w:t>Der gelbe Fleck.</w:t>
      </w:r>
      <w:r>
        <w:t xml:space="preserve"> Die Ausrottung von 500 000 deutschen Juden. [Hrsg. von Lilly Becher.] Mit einem Vorwort von Lion Feuchtwanger. Paris: </w:t>
      </w:r>
      <w:proofErr w:type="spellStart"/>
      <w:r>
        <w:t>Éditions</w:t>
      </w:r>
      <w:proofErr w:type="spellEnd"/>
      <w:r>
        <w:t xml:space="preserve"> du Carrefour 1936.</w:t>
      </w:r>
    </w:p>
  </w:footnote>
  <w:footnote w:id="24">
    <w:p w:rsidR="00E47090" w:rsidRDefault="00E47090" w:rsidP="00A76ECF">
      <w:pPr>
        <w:pStyle w:val="Funotentext"/>
      </w:pPr>
      <w:r>
        <w:rPr>
          <w:rStyle w:val="Funotenzeichen"/>
        </w:rPr>
        <w:footnoteRef/>
      </w:r>
      <w:r>
        <w:t xml:space="preserve"> A.a.O., S. 93-121.</w:t>
      </w:r>
    </w:p>
  </w:footnote>
  <w:footnote w:id="25">
    <w:p w:rsidR="00E47090" w:rsidRDefault="00E47090">
      <w:pPr>
        <w:pStyle w:val="Funotentext"/>
      </w:pPr>
      <w:r>
        <w:rPr>
          <w:rStyle w:val="Funotenzeichen"/>
        </w:rPr>
        <w:footnoteRef/>
      </w:r>
      <w:r>
        <w:t xml:space="preserve"> A.a.O., S. 107; Zusammenstellung aus der Ausgabe der </w:t>
      </w:r>
      <w:r>
        <w:rPr>
          <w:i/>
        </w:rPr>
        <w:t xml:space="preserve">Frankfurter Zeitung </w:t>
      </w:r>
      <w:r>
        <w:t xml:space="preserve"> vom 20. Oktober 1935. </w:t>
      </w:r>
    </w:p>
  </w:footnote>
  <w:footnote w:id="26">
    <w:p w:rsidR="00E47090" w:rsidRDefault="00E47090">
      <w:pPr>
        <w:pStyle w:val="Funotentext"/>
      </w:pPr>
      <w:r>
        <w:rPr>
          <w:rStyle w:val="Funotenzeichen"/>
        </w:rPr>
        <w:footnoteRef/>
      </w:r>
      <w:r>
        <w:t xml:space="preserve"> S. 99.</w:t>
      </w:r>
    </w:p>
  </w:footnote>
  <w:footnote w:id="27">
    <w:p w:rsidR="00E47090" w:rsidRDefault="00E47090">
      <w:pPr>
        <w:pStyle w:val="Funotentext"/>
      </w:pPr>
      <w:r>
        <w:rPr>
          <w:rStyle w:val="Funotenzeichen"/>
        </w:rPr>
        <w:footnoteRef/>
      </w:r>
      <w:r>
        <w:t xml:space="preserve"> S. 163-186.</w:t>
      </w:r>
    </w:p>
  </w:footnote>
  <w:footnote w:id="28">
    <w:p w:rsidR="00E47090" w:rsidRDefault="00E47090">
      <w:pPr>
        <w:pStyle w:val="Funotentext"/>
      </w:pPr>
      <w:r>
        <w:rPr>
          <w:rStyle w:val="Funotenzeichen"/>
        </w:rPr>
        <w:footnoteRef/>
      </w:r>
      <w:r>
        <w:t xml:space="preserve"> S. 283-287.</w:t>
      </w:r>
    </w:p>
  </w:footnote>
  <w:footnote w:id="29">
    <w:p w:rsidR="00E47090" w:rsidRDefault="00E47090">
      <w:pPr>
        <w:pStyle w:val="Funotentext"/>
      </w:pPr>
      <w:r>
        <w:rPr>
          <w:rStyle w:val="Funotenzeichen"/>
        </w:rPr>
        <w:footnoteRef/>
      </w:r>
      <w:r>
        <w:t xml:space="preserve"> S. 5.</w:t>
      </w:r>
    </w:p>
  </w:footnote>
  <w:footnote w:id="30">
    <w:p w:rsidR="00E47090" w:rsidRDefault="00E47090">
      <w:pPr>
        <w:pStyle w:val="Funotentext"/>
      </w:pPr>
      <w:r>
        <w:rPr>
          <w:rStyle w:val="Funotenzeichen"/>
        </w:rPr>
        <w:footnoteRef/>
      </w:r>
      <w:r>
        <w:t xml:space="preserve"> S.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14"/>
      <w:docPartObj>
        <w:docPartGallery w:val="Page Numbers (Top of Page)"/>
        <w:docPartUnique/>
      </w:docPartObj>
    </w:sdtPr>
    <w:sdtEndPr/>
    <w:sdtContent>
      <w:p w:rsidR="00E47090" w:rsidRDefault="00C80DDE">
        <w:pPr>
          <w:pStyle w:val="Kopfzeile"/>
          <w:jc w:val="right"/>
        </w:pPr>
        <w:r>
          <w:fldChar w:fldCharType="begin"/>
        </w:r>
        <w:r>
          <w:instrText xml:space="preserve"> PAGE   \* MERGEFORMAT </w:instrText>
        </w:r>
        <w:r>
          <w:fldChar w:fldCharType="separate"/>
        </w:r>
        <w:r w:rsidR="003C6AE4">
          <w:rPr>
            <w:noProof/>
          </w:rPr>
          <w:t>12</w:t>
        </w:r>
        <w:r>
          <w:rPr>
            <w:noProof/>
          </w:rPr>
          <w:fldChar w:fldCharType="end"/>
        </w:r>
      </w:p>
    </w:sdtContent>
  </w:sdt>
  <w:p w:rsidR="00E47090" w:rsidRDefault="00E470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0DE7"/>
    <w:rsid w:val="000132C1"/>
    <w:rsid w:val="00013788"/>
    <w:rsid w:val="0002223B"/>
    <w:rsid w:val="00024094"/>
    <w:rsid w:val="00030657"/>
    <w:rsid w:val="000442B1"/>
    <w:rsid w:val="0005682D"/>
    <w:rsid w:val="00057F88"/>
    <w:rsid w:val="000604E6"/>
    <w:rsid w:val="00091126"/>
    <w:rsid w:val="00093EF1"/>
    <w:rsid w:val="000943B5"/>
    <w:rsid w:val="000C46A1"/>
    <w:rsid w:val="000F284A"/>
    <w:rsid w:val="0012210F"/>
    <w:rsid w:val="00123ED3"/>
    <w:rsid w:val="00143388"/>
    <w:rsid w:val="00154AFA"/>
    <w:rsid w:val="00156D87"/>
    <w:rsid w:val="0016325F"/>
    <w:rsid w:val="00164FBB"/>
    <w:rsid w:val="001917A2"/>
    <w:rsid w:val="001A31C2"/>
    <w:rsid w:val="001B27CF"/>
    <w:rsid w:val="001B2F11"/>
    <w:rsid w:val="001B4EF6"/>
    <w:rsid w:val="001B6543"/>
    <w:rsid w:val="001C4C5E"/>
    <w:rsid w:val="001F5D48"/>
    <w:rsid w:val="00203B46"/>
    <w:rsid w:val="00204524"/>
    <w:rsid w:val="002139F7"/>
    <w:rsid w:val="002150D1"/>
    <w:rsid w:val="00220128"/>
    <w:rsid w:val="002257DA"/>
    <w:rsid w:val="002545F0"/>
    <w:rsid w:val="002642A8"/>
    <w:rsid w:val="00267E0C"/>
    <w:rsid w:val="00280CB7"/>
    <w:rsid w:val="00291822"/>
    <w:rsid w:val="00291948"/>
    <w:rsid w:val="002921A8"/>
    <w:rsid w:val="0029239C"/>
    <w:rsid w:val="0029625D"/>
    <w:rsid w:val="002A34E6"/>
    <w:rsid w:val="002B10B6"/>
    <w:rsid w:val="002E59DA"/>
    <w:rsid w:val="003075A1"/>
    <w:rsid w:val="0031103E"/>
    <w:rsid w:val="0033194E"/>
    <w:rsid w:val="00336AF2"/>
    <w:rsid w:val="0033783B"/>
    <w:rsid w:val="00346DAF"/>
    <w:rsid w:val="00362ADC"/>
    <w:rsid w:val="00375F3B"/>
    <w:rsid w:val="00376FD5"/>
    <w:rsid w:val="00380375"/>
    <w:rsid w:val="00396DED"/>
    <w:rsid w:val="003B7732"/>
    <w:rsid w:val="003C6AE4"/>
    <w:rsid w:val="003D2278"/>
    <w:rsid w:val="003E0DB1"/>
    <w:rsid w:val="003E7D1F"/>
    <w:rsid w:val="003F47D1"/>
    <w:rsid w:val="004235BB"/>
    <w:rsid w:val="004467A8"/>
    <w:rsid w:val="00450B16"/>
    <w:rsid w:val="00454A3B"/>
    <w:rsid w:val="00457BF7"/>
    <w:rsid w:val="004662AC"/>
    <w:rsid w:val="00466AF7"/>
    <w:rsid w:val="00477296"/>
    <w:rsid w:val="00497205"/>
    <w:rsid w:val="004A7862"/>
    <w:rsid w:val="004B2D3F"/>
    <w:rsid w:val="004C6644"/>
    <w:rsid w:val="004D4ECB"/>
    <w:rsid w:val="004D6B56"/>
    <w:rsid w:val="004F1913"/>
    <w:rsid w:val="004F4861"/>
    <w:rsid w:val="00510EC7"/>
    <w:rsid w:val="00514BC9"/>
    <w:rsid w:val="0052645B"/>
    <w:rsid w:val="00526659"/>
    <w:rsid w:val="00542E5B"/>
    <w:rsid w:val="00560AF2"/>
    <w:rsid w:val="00566AB2"/>
    <w:rsid w:val="00577CEE"/>
    <w:rsid w:val="00596741"/>
    <w:rsid w:val="005B67CA"/>
    <w:rsid w:val="005C7EFE"/>
    <w:rsid w:val="005D6353"/>
    <w:rsid w:val="005E4FBD"/>
    <w:rsid w:val="00601E50"/>
    <w:rsid w:val="00603B1A"/>
    <w:rsid w:val="00622F4D"/>
    <w:rsid w:val="00626287"/>
    <w:rsid w:val="006425FF"/>
    <w:rsid w:val="006535D7"/>
    <w:rsid w:val="0065505D"/>
    <w:rsid w:val="00661C9F"/>
    <w:rsid w:val="00675458"/>
    <w:rsid w:val="00675F49"/>
    <w:rsid w:val="00683D62"/>
    <w:rsid w:val="00690DA5"/>
    <w:rsid w:val="006D46F5"/>
    <w:rsid w:val="006F12B3"/>
    <w:rsid w:val="0070139E"/>
    <w:rsid w:val="007144F3"/>
    <w:rsid w:val="00717C97"/>
    <w:rsid w:val="007678B8"/>
    <w:rsid w:val="00773540"/>
    <w:rsid w:val="00791B11"/>
    <w:rsid w:val="00791C67"/>
    <w:rsid w:val="00793E6D"/>
    <w:rsid w:val="007B0D45"/>
    <w:rsid w:val="007B573D"/>
    <w:rsid w:val="007D2E90"/>
    <w:rsid w:val="008003A8"/>
    <w:rsid w:val="008009CD"/>
    <w:rsid w:val="008078BB"/>
    <w:rsid w:val="00816BF3"/>
    <w:rsid w:val="00816D18"/>
    <w:rsid w:val="008250F2"/>
    <w:rsid w:val="008268B1"/>
    <w:rsid w:val="0082745D"/>
    <w:rsid w:val="008511EB"/>
    <w:rsid w:val="00857D95"/>
    <w:rsid w:val="008B37E3"/>
    <w:rsid w:val="008B54B6"/>
    <w:rsid w:val="008D3A8D"/>
    <w:rsid w:val="008D6623"/>
    <w:rsid w:val="008F42FD"/>
    <w:rsid w:val="008F5C87"/>
    <w:rsid w:val="00936371"/>
    <w:rsid w:val="00945911"/>
    <w:rsid w:val="00960AC3"/>
    <w:rsid w:val="00974BBB"/>
    <w:rsid w:val="00980640"/>
    <w:rsid w:val="00990544"/>
    <w:rsid w:val="009B0928"/>
    <w:rsid w:val="009C4DBD"/>
    <w:rsid w:val="009D7058"/>
    <w:rsid w:val="00A03ECE"/>
    <w:rsid w:val="00A115BE"/>
    <w:rsid w:val="00A1785B"/>
    <w:rsid w:val="00A223B2"/>
    <w:rsid w:val="00A35D0A"/>
    <w:rsid w:val="00A4128C"/>
    <w:rsid w:val="00A56982"/>
    <w:rsid w:val="00A60A86"/>
    <w:rsid w:val="00A65E78"/>
    <w:rsid w:val="00A75EC2"/>
    <w:rsid w:val="00A76ECF"/>
    <w:rsid w:val="00A97A85"/>
    <w:rsid w:val="00AB0F5D"/>
    <w:rsid w:val="00AC2366"/>
    <w:rsid w:val="00AC61BF"/>
    <w:rsid w:val="00B11BA1"/>
    <w:rsid w:val="00B17369"/>
    <w:rsid w:val="00B24625"/>
    <w:rsid w:val="00B41A15"/>
    <w:rsid w:val="00B4307F"/>
    <w:rsid w:val="00B43EA5"/>
    <w:rsid w:val="00B513F9"/>
    <w:rsid w:val="00B52579"/>
    <w:rsid w:val="00B55716"/>
    <w:rsid w:val="00B77631"/>
    <w:rsid w:val="00B83164"/>
    <w:rsid w:val="00B9677B"/>
    <w:rsid w:val="00BA0DE7"/>
    <w:rsid w:val="00C07358"/>
    <w:rsid w:val="00C25894"/>
    <w:rsid w:val="00C401AF"/>
    <w:rsid w:val="00C45BC1"/>
    <w:rsid w:val="00C603E6"/>
    <w:rsid w:val="00C80DDE"/>
    <w:rsid w:val="00C96C90"/>
    <w:rsid w:val="00CC1276"/>
    <w:rsid w:val="00CC26E0"/>
    <w:rsid w:val="00CC3094"/>
    <w:rsid w:val="00CD324C"/>
    <w:rsid w:val="00CE07FF"/>
    <w:rsid w:val="00CE7548"/>
    <w:rsid w:val="00CF07DC"/>
    <w:rsid w:val="00D135AB"/>
    <w:rsid w:val="00D17A1F"/>
    <w:rsid w:val="00D17FB8"/>
    <w:rsid w:val="00D214CC"/>
    <w:rsid w:val="00D410FE"/>
    <w:rsid w:val="00D4560E"/>
    <w:rsid w:val="00D87A3B"/>
    <w:rsid w:val="00DB77D2"/>
    <w:rsid w:val="00DC277A"/>
    <w:rsid w:val="00E27A58"/>
    <w:rsid w:val="00E37F9B"/>
    <w:rsid w:val="00E43096"/>
    <w:rsid w:val="00E47090"/>
    <w:rsid w:val="00E513D4"/>
    <w:rsid w:val="00E74B8F"/>
    <w:rsid w:val="00E85B15"/>
    <w:rsid w:val="00E9732F"/>
    <w:rsid w:val="00EB0C99"/>
    <w:rsid w:val="00ED0A9E"/>
    <w:rsid w:val="00ED6551"/>
    <w:rsid w:val="00EE43E7"/>
    <w:rsid w:val="00EE591C"/>
    <w:rsid w:val="00EF18FA"/>
    <w:rsid w:val="00F05C43"/>
    <w:rsid w:val="00F05E0E"/>
    <w:rsid w:val="00F11742"/>
    <w:rsid w:val="00F25278"/>
    <w:rsid w:val="00F558F8"/>
    <w:rsid w:val="00F55C32"/>
    <w:rsid w:val="00F626B9"/>
    <w:rsid w:val="00F97190"/>
    <w:rsid w:val="00FB0D95"/>
    <w:rsid w:val="00FC506B"/>
    <w:rsid w:val="00FD764A"/>
    <w:rsid w:val="00FE1BCC"/>
    <w:rsid w:val="00FF0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9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0D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DE7"/>
  </w:style>
  <w:style w:type="paragraph" w:styleId="Fuzeile">
    <w:name w:val="footer"/>
    <w:basedOn w:val="Standard"/>
    <w:link w:val="FuzeileZchn"/>
    <w:uiPriority w:val="99"/>
    <w:semiHidden/>
    <w:unhideWhenUsed/>
    <w:rsid w:val="00BA0DE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A0DE7"/>
  </w:style>
  <w:style w:type="paragraph" w:styleId="Funotentext">
    <w:name w:val="footnote text"/>
    <w:basedOn w:val="Standard"/>
    <w:link w:val="FunotentextZchn"/>
    <w:uiPriority w:val="99"/>
    <w:semiHidden/>
    <w:unhideWhenUsed/>
    <w:rsid w:val="004972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7205"/>
    <w:rPr>
      <w:sz w:val="20"/>
      <w:szCs w:val="20"/>
    </w:rPr>
  </w:style>
  <w:style w:type="character" w:styleId="Funotenzeichen">
    <w:name w:val="footnote reference"/>
    <w:basedOn w:val="Absatz-Standardschriftart"/>
    <w:uiPriority w:val="99"/>
    <w:semiHidden/>
    <w:unhideWhenUsed/>
    <w:rsid w:val="00497205"/>
    <w:rPr>
      <w:vertAlign w:val="superscript"/>
    </w:rPr>
  </w:style>
  <w:style w:type="paragraph" w:styleId="Sprechblasentext">
    <w:name w:val="Balloon Text"/>
    <w:basedOn w:val="Standard"/>
    <w:link w:val="SprechblasentextZchn"/>
    <w:uiPriority w:val="99"/>
    <w:semiHidden/>
    <w:unhideWhenUsed/>
    <w:rsid w:val="0033194E"/>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33194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20D8-3AB1-480A-AD78-13FE3AA6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5165</Words>
  <Characters>32543</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2009-10-31T11:50:00Z</cp:lastPrinted>
  <dcterms:created xsi:type="dcterms:W3CDTF">2010-11-06T10:22:00Z</dcterms:created>
  <dcterms:modified xsi:type="dcterms:W3CDTF">2012-08-01T14:06:00Z</dcterms:modified>
</cp:coreProperties>
</file>