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20" w:rsidRPr="00855920" w:rsidRDefault="00855920" w:rsidP="00855920">
      <w:pPr>
        <w:spacing w:after="0"/>
        <w:jc w:val="both"/>
        <w:rPr>
          <w:b/>
        </w:rPr>
      </w:pPr>
      <w:bookmarkStart w:id="0" w:name="_GoBack"/>
      <w:bookmarkEnd w:id="0"/>
      <w:r w:rsidRPr="00855920">
        <w:rPr>
          <w:b/>
        </w:rPr>
        <w:t xml:space="preserve">(47) Kap. 16: Die Ausweitung der politischen Konfliktfelder </w:t>
      </w:r>
    </w:p>
    <w:p w:rsidR="007B0DC6" w:rsidRDefault="007B0DC6" w:rsidP="008A37CD">
      <w:pPr>
        <w:spacing w:after="0"/>
        <w:jc w:val="both"/>
      </w:pPr>
    </w:p>
    <w:p w:rsidR="008A37CD" w:rsidRDefault="008A37CD" w:rsidP="008A37CD">
      <w:pPr>
        <w:spacing w:after="0"/>
        <w:jc w:val="both"/>
      </w:pPr>
      <w:r>
        <w:t>Im März 1935 veröffentlich</w:t>
      </w:r>
      <w:r w:rsidR="00905571">
        <w:t>t</w:t>
      </w:r>
      <w:r>
        <w:t xml:space="preserve"> Leopold Schwarzschild im </w:t>
      </w:r>
      <w:r>
        <w:rPr>
          <w:i/>
        </w:rPr>
        <w:t xml:space="preserve">Neuen Tage-Buch </w:t>
      </w:r>
      <w:r w:rsidR="007B0DC6">
        <w:t>einen bemerken</w:t>
      </w:r>
      <w:r w:rsidR="007B0DC6">
        <w:t>s</w:t>
      </w:r>
      <w:r w:rsidR="007B0DC6">
        <w:t xml:space="preserve">werten </w:t>
      </w:r>
      <w:r w:rsidR="00EF0178">
        <w:t>Artikel</w:t>
      </w:r>
      <w:r w:rsidR="000573C6">
        <w:t>. Er trägt die Überschrift „Aufforderung zum Risiko“.</w:t>
      </w:r>
      <w:r w:rsidR="000573C6">
        <w:rPr>
          <w:rStyle w:val="Funotenzeichen"/>
        </w:rPr>
        <w:footnoteReference w:id="1"/>
      </w:r>
      <w:r w:rsidR="00905571">
        <w:t xml:space="preserve"> </w:t>
      </w:r>
      <w:r w:rsidR="000573C6">
        <w:t>Schwarzschild beschä</w:t>
      </w:r>
      <w:r w:rsidR="000573C6">
        <w:t>f</w:t>
      </w:r>
      <w:r w:rsidR="000573C6">
        <w:t xml:space="preserve">tigt </w:t>
      </w:r>
      <w:r w:rsidR="00042886">
        <w:t xml:space="preserve">sich </w:t>
      </w:r>
      <w:r w:rsidR="000573C6">
        <w:t xml:space="preserve">darin </w:t>
      </w:r>
      <w:r w:rsidR="00042886">
        <w:t xml:space="preserve">mit der deutschen Rüstungspolitik und den hieraus resultierenden </w:t>
      </w:r>
      <w:r w:rsidR="005E31B6">
        <w:t xml:space="preserve">politischen und militärischen </w:t>
      </w:r>
      <w:r w:rsidR="00042886">
        <w:t xml:space="preserve">Gefahren. </w:t>
      </w:r>
      <w:r w:rsidR="00657C8E">
        <w:t xml:space="preserve">Was </w:t>
      </w:r>
      <w:r w:rsidR="000573C6">
        <w:t>er</w:t>
      </w:r>
      <w:r w:rsidR="00657C8E">
        <w:t xml:space="preserve"> mit</w:t>
      </w:r>
      <w:r w:rsidR="000573C6">
        <w:t xml:space="preserve"> der </w:t>
      </w:r>
      <w:r w:rsidR="00657C8E">
        <w:t>„</w:t>
      </w:r>
      <w:r w:rsidR="000573C6">
        <w:t xml:space="preserve">Aufforderung zum </w:t>
      </w:r>
      <w:r w:rsidR="00657C8E">
        <w:t xml:space="preserve">Risiko“ </w:t>
      </w:r>
      <w:r w:rsidR="005E31B6">
        <w:t>mein</w:t>
      </w:r>
      <w:r w:rsidR="00657C8E">
        <w:t>t, liegt auf der Hand</w:t>
      </w:r>
      <w:r w:rsidR="00B37B10">
        <w:t>:</w:t>
      </w:r>
      <w:r w:rsidR="00657C8E">
        <w:t xml:space="preserve"> </w:t>
      </w:r>
      <w:r w:rsidR="000573C6">
        <w:t xml:space="preserve">Um </w:t>
      </w:r>
      <w:r w:rsidR="005E31B6">
        <w:t xml:space="preserve">dem Dritten Reich und </w:t>
      </w:r>
      <w:r w:rsidR="000573C6">
        <w:t xml:space="preserve">der nationalsozialistischen Rüstungspolitik </w:t>
      </w:r>
      <w:r w:rsidR="005E31B6">
        <w:t>entgegenzutr</w:t>
      </w:r>
      <w:r w:rsidR="005E31B6">
        <w:t>e</w:t>
      </w:r>
      <w:r w:rsidR="005E31B6">
        <w:t>te</w:t>
      </w:r>
      <w:r w:rsidR="000573C6">
        <w:t xml:space="preserve">n, fordert </w:t>
      </w:r>
      <w:r w:rsidR="00F6035B">
        <w:t>Schwarzschild</w:t>
      </w:r>
      <w:r w:rsidR="000573C6">
        <w:t xml:space="preserve"> </w:t>
      </w:r>
      <w:r w:rsidR="00F604B6">
        <w:t>militärische</w:t>
      </w:r>
      <w:r w:rsidR="00DE670D">
        <w:t>n</w:t>
      </w:r>
      <w:r w:rsidR="00F604B6">
        <w:t xml:space="preserve"> Druck </w:t>
      </w:r>
      <w:r w:rsidR="000573C6">
        <w:t>seitens der deutschen Nachbarstaaten</w:t>
      </w:r>
      <w:r w:rsidR="00DE670D">
        <w:t>. Andere Möglichkeiten</w:t>
      </w:r>
      <w:r w:rsidR="005E31B6">
        <w:t xml:space="preserve"> </w:t>
      </w:r>
      <w:r w:rsidR="00DE670D">
        <w:t>sieht er nicht</w:t>
      </w:r>
      <w:r w:rsidR="00EF0178">
        <w:t>:</w:t>
      </w:r>
    </w:p>
    <w:p w:rsidR="008A37CD" w:rsidRDefault="008A37CD" w:rsidP="008A37CD">
      <w:pPr>
        <w:spacing w:after="0"/>
        <w:ind w:left="1134"/>
        <w:jc w:val="both"/>
      </w:pPr>
      <w:r>
        <w:t xml:space="preserve">„Es ist oft festgestellt worden, </w:t>
      </w:r>
      <w:proofErr w:type="spellStart"/>
      <w:r>
        <w:t>daß</w:t>
      </w:r>
      <w:proofErr w:type="spellEnd"/>
      <w:r>
        <w:t xml:space="preserve"> die europäische Nachkriegsgeschichte ihr G</w:t>
      </w:r>
      <w:r>
        <w:t>e</w:t>
      </w:r>
      <w:r>
        <w:t>präge hauptsächlich von einer einzigen Tatsache empfing:</w:t>
      </w:r>
      <w:r w:rsidR="00EF0178">
        <w:t xml:space="preserve"> […]</w:t>
      </w:r>
      <w:r>
        <w:t xml:space="preserve"> </w:t>
      </w:r>
      <w:proofErr w:type="spellStart"/>
      <w:r>
        <w:t>daß</w:t>
      </w:r>
      <w:proofErr w:type="spellEnd"/>
      <w:r>
        <w:t xml:space="preserve"> Deutschland </w:t>
      </w:r>
      <w:proofErr w:type="spellStart"/>
      <w:r>
        <w:rPr>
          <w:i/>
        </w:rPr>
        <w:t>wußte</w:t>
      </w:r>
      <w:proofErr w:type="spellEnd"/>
      <w:r>
        <w:t xml:space="preserve">, was es wollte, während seine Nachbarn absolut </w:t>
      </w:r>
      <w:r>
        <w:rPr>
          <w:i/>
        </w:rPr>
        <w:t xml:space="preserve">nicht </w:t>
      </w:r>
      <w:proofErr w:type="spellStart"/>
      <w:r>
        <w:t>wußten</w:t>
      </w:r>
      <w:proofErr w:type="spellEnd"/>
      <w:r>
        <w:t>, was sie wol</w:t>
      </w:r>
      <w:r>
        <w:t>l</w:t>
      </w:r>
      <w:r>
        <w:t>ten. Deutschland wollte die Zerstörung der Ordnung von Versailles</w:t>
      </w:r>
      <w:r w:rsidR="00EF0178">
        <w:t xml:space="preserve"> […]</w:t>
      </w:r>
      <w:r>
        <w:t>. Seine Gegenspieler dagegen taumelten zwischen dem Willen, diese Ordnung zu erha</w:t>
      </w:r>
      <w:r>
        <w:t>l</w:t>
      </w:r>
      <w:r>
        <w:t xml:space="preserve">ten, und dem Willen, sie irgendwie zu ändern […]. Zu diesem Mangel an präzisen Zielen gesellte sich überdies noch die wahrhaft </w:t>
      </w:r>
      <w:r>
        <w:rPr>
          <w:i/>
        </w:rPr>
        <w:t>panische Angst vor jeder Verwic</w:t>
      </w:r>
      <w:r>
        <w:rPr>
          <w:i/>
        </w:rPr>
        <w:t>k</w:t>
      </w:r>
      <w:r>
        <w:rPr>
          <w:i/>
        </w:rPr>
        <w:t>lung</w:t>
      </w:r>
      <w:r>
        <w:t>, jeder Friedens-Störung, jedem Risiko, – während Deutschland vor alledem niemals zurückschreckte</w:t>
      </w:r>
      <w:r w:rsidR="00EF0178">
        <w:t xml:space="preserve"> […]</w:t>
      </w:r>
      <w:r>
        <w:t xml:space="preserve">, – und damit haben wir die Elemente beisammen, die schließlich sogar bewirkten, </w:t>
      </w:r>
      <w:proofErr w:type="spellStart"/>
      <w:r>
        <w:t>daß</w:t>
      </w:r>
      <w:proofErr w:type="spellEnd"/>
      <w:r>
        <w:t xml:space="preserve"> Deutschland</w:t>
      </w:r>
      <w:r w:rsidR="00657C8E">
        <w:t>s</w:t>
      </w:r>
      <w:r>
        <w:t xml:space="preserve"> Wiederaufrüstung unbehindert blieb</w:t>
      </w:r>
      <w:r w:rsidR="00EF0178">
        <w:t xml:space="preserve"> […]</w:t>
      </w:r>
      <w:r>
        <w:t xml:space="preserve">: </w:t>
      </w:r>
      <w:proofErr w:type="spellStart"/>
      <w:r>
        <w:t>daß</w:t>
      </w:r>
      <w:proofErr w:type="spellEnd"/>
      <w:r>
        <w:t xml:space="preserve"> die ganz</w:t>
      </w:r>
      <w:r w:rsidR="00905571">
        <w:t>e</w:t>
      </w:r>
      <w:r>
        <w:t xml:space="preserve"> heutige Lage entstand, die in Permanenz eine Lage am Rande des Krieges ist.“</w:t>
      </w:r>
      <w:r w:rsidR="00CC0FC7">
        <w:rPr>
          <w:rStyle w:val="Funotenzeichen"/>
        </w:rPr>
        <w:footnoteReference w:id="2"/>
      </w:r>
      <w:r>
        <w:t xml:space="preserve"> </w:t>
      </w:r>
    </w:p>
    <w:p w:rsidR="00EF0178" w:rsidRDefault="00B37B10" w:rsidP="00EF0178">
      <w:pPr>
        <w:spacing w:after="0"/>
        <w:jc w:val="both"/>
      </w:pPr>
      <w:r>
        <w:t>Es ist der sich inzwischen immer deutlicher abzeichnende Zerfall des in Versailles geschaff</w:t>
      </w:r>
      <w:r>
        <w:t>e</w:t>
      </w:r>
      <w:r>
        <w:t xml:space="preserve">nen Ordnungssystems, der </w:t>
      </w:r>
      <w:r w:rsidR="00EF0178">
        <w:t>Schwarzschild</w:t>
      </w:r>
      <w:r w:rsidR="00DE670D">
        <w:t xml:space="preserve"> veranlasst, militärischen Druck als politisches I</w:t>
      </w:r>
      <w:r w:rsidR="00DE670D">
        <w:t>n</w:t>
      </w:r>
      <w:r w:rsidR="00DE670D">
        <w:t>strument in Erwägung zu ziehen</w:t>
      </w:r>
      <w:r w:rsidR="00EF0178">
        <w:t xml:space="preserve">. </w:t>
      </w:r>
      <w:r w:rsidR="00657C8E">
        <w:t>D</w:t>
      </w:r>
      <w:r>
        <w:t>a</w:t>
      </w:r>
      <w:r w:rsidR="00DE670D">
        <w:t xml:space="preserve">s System </w:t>
      </w:r>
      <w:r>
        <w:t>von Versailles mit seinen strikten Rüstungsb</w:t>
      </w:r>
      <w:r>
        <w:t>e</w:t>
      </w:r>
      <w:r>
        <w:t xml:space="preserve">schränkungen, verbunden mit der Entmilitarisierung des Rheinlands, </w:t>
      </w:r>
      <w:r w:rsidR="00DE670D">
        <w:t xml:space="preserve">war </w:t>
      </w:r>
      <w:r w:rsidR="0075143E">
        <w:t xml:space="preserve">bislang </w:t>
      </w:r>
      <w:r w:rsidR="00DE670D">
        <w:t>die Grun</w:t>
      </w:r>
      <w:r w:rsidR="00DE670D">
        <w:t>d</w:t>
      </w:r>
      <w:r w:rsidR="00DE670D">
        <w:t>lage de</w:t>
      </w:r>
      <w:r>
        <w:t>r politischen Ordnung in Mitteleuropa.</w:t>
      </w:r>
      <w:r w:rsidR="00DE670D">
        <w:t xml:space="preserve"> </w:t>
      </w:r>
      <w:r>
        <w:t xml:space="preserve">Es war </w:t>
      </w:r>
      <w:r w:rsidR="005E31B6">
        <w:t>zum einen</w:t>
      </w:r>
      <w:r>
        <w:t xml:space="preserve"> Aus</w:t>
      </w:r>
      <w:r w:rsidR="008841EC">
        <w:t>druck</w:t>
      </w:r>
      <w:r>
        <w:t xml:space="preserve"> </w:t>
      </w:r>
      <w:r w:rsidR="005E31B6">
        <w:t>der militärischen Stärke auf Seiten der Siegermächte des Ersten Weltkriegs, zum anderen aber auch d</w:t>
      </w:r>
      <w:r>
        <w:t xml:space="preserve">er die Nationen übergreifenden Sehnsucht nach </w:t>
      </w:r>
      <w:r w:rsidR="005E31B6">
        <w:t>Frieden und dem Ende der Konfliktlösung mit mil</w:t>
      </w:r>
      <w:r w:rsidR="005E31B6">
        <w:t>i</w:t>
      </w:r>
      <w:r w:rsidR="005E31B6">
        <w:t>tärischen Mittel</w:t>
      </w:r>
      <w:r>
        <w:t xml:space="preserve">n. </w:t>
      </w:r>
      <w:r w:rsidR="00E02459">
        <w:t>D</w:t>
      </w:r>
      <w:r w:rsidR="00657C8E">
        <w:t xml:space="preserve">och </w:t>
      </w:r>
      <w:r w:rsidR="00E02459">
        <w:t xml:space="preserve">mit pazifistischen Mitteln ist in der jetzigen Situation </w:t>
      </w:r>
      <w:r w:rsidR="00657C8E">
        <w:t>d</w:t>
      </w:r>
      <w:r w:rsidR="00E02459">
        <w:t>a</w:t>
      </w:r>
      <w:r w:rsidR="00657C8E">
        <w:t>s Ziel</w:t>
      </w:r>
      <w:r w:rsidR="00E02459">
        <w:t>, in E</w:t>
      </w:r>
      <w:r w:rsidR="00E02459">
        <w:t>u</w:t>
      </w:r>
      <w:r w:rsidR="00E02459">
        <w:t xml:space="preserve">ropa den Frieden zu sichern, </w:t>
      </w:r>
      <w:r w:rsidR="00657C8E">
        <w:t xml:space="preserve">nicht mehr zu </w:t>
      </w:r>
      <w:r w:rsidR="00153F7B">
        <w:t>erreich</w:t>
      </w:r>
      <w:r w:rsidR="00657C8E">
        <w:t xml:space="preserve">en. </w:t>
      </w:r>
      <w:r w:rsidR="00A8559F">
        <w:t xml:space="preserve">Europa bewegt sich </w:t>
      </w:r>
      <w:r w:rsidR="00D05A90">
        <w:t xml:space="preserve">– so Schwarzschild – </w:t>
      </w:r>
      <w:r w:rsidR="00A8559F">
        <w:t>„in Permanenz“ am Rande eines erneuten Krieges.</w:t>
      </w:r>
    </w:p>
    <w:p w:rsidR="008A37CD" w:rsidRDefault="00EF0178" w:rsidP="00EF0178">
      <w:pPr>
        <w:spacing w:after="0"/>
        <w:ind w:firstLine="708"/>
        <w:jc w:val="both"/>
      </w:pPr>
      <w:r>
        <w:t>An die</w:t>
      </w:r>
      <w:r w:rsidR="008A37CD">
        <w:t xml:space="preserve"> Bestandsanalyse </w:t>
      </w:r>
      <w:r>
        <w:t xml:space="preserve">schließt </w:t>
      </w:r>
      <w:r w:rsidR="0075143E">
        <w:t>Schwarzschild</w:t>
      </w:r>
      <w:r>
        <w:t xml:space="preserve"> die Frage an</w:t>
      </w:r>
      <w:r w:rsidR="008A37CD">
        <w:t xml:space="preserve">, wie </w:t>
      </w:r>
      <w:r>
        <w:t>aufgrund der inzw</w:t>
      </w:r>
      <w:r>
        <w:t>i</w:t>
      </w:r>
      <w:r>
        <w:t xml:space="preserve">schen eingetretenen brandgefährlichen Entwicklung </w:t>
      </w:r>
      <w:r w:rsidR="008A37CD">
        <w:t xml:space="preserve">die </w:t>
      </w:r>
      <w:r w:rsidR="00905571">
        <w:t xml:space="preserve">zentrale </w:t>
      </w:r>
      <w:r w:rsidR="008A37CD">
        <w:t xml:space="preserve">Aufgabe: der „Kampf um den Frieden“, zu lösen sei. </w:t>
      </w:r>
      <w:r w:rsidR="008841EC">
        <w:t>D</w:t>
      </w:r>
      <w:r w:rsidR="00783220">
        <w:t>abei</w:t>
      </w:r>
      <w:r w:rsidR="008A37CD">
        <w:t xml:space="preserve"> </w:t>
      </w:r>
      <w:r w:rsidR="008841EC">
        <w:t xml:space="preserve">ist für Schwarzschild </w:t>
      </w:r>
      <w:r w:rsidR="008A37CD">
        <w:t xml:space="preserve">klar: „Sie ist </w:t>
      </w:r>
      <w:r w:rsidR="008A37CD">
        <w:rPr>
          <w:i/>
        </w:rPr>
        <w:t xml:space="preserve">nicht </w:t>
      </w:r>
      <w:r w:rsidR="008A37CD">
        <w:t>mehr zu lösen durch abstrakt-pazifistisches Geklingel und Gedudel.“</w:t>
      </w:r>
      <w:r w:rsidR="00CC0FC7">
        <w:rPr>
          <w:rStyle w:val="Funotenzeichen"/>
        </w:rPr>
        <w:footnoteReference w:id="3"/>
      </w:r>
      <w:r w:rsidR="008A37CD">
        <w:t xml:space="preserve"> </w:t>
      </w:r>
      <w:r w:rsidR="00905571">
        <w:t>– B</w:t>
      </w:r>
      <w:r w:rsidR="008A37CD">
        <w:t xml:space="preserve">ei dem Bemühen, </w:t>
      </w:r>
      <w:r w:rsidR="00905571">
        <w:t xml:space="preserve">eine Antwort zu formulieren, </w:t>
      </w:r>
      <w:r w:rsidR="008A37CD">
        <w:t xml:space="preserve">greift Schwarzschild auf </w:t>
      </w:r>
      <w:r w:rsidR="00A8559F">
        <w:t>einen Gedank</w:t>
      </w:r>
      <w:r w:rsidR="008A37CD">
        <w:t>en zurück, de</w:t>
      </w:r>
      <w:r w:rsidR="008841EC">
        <w:t>n</w:t>
      </w:r>
      <w:r w:rsidR="008A37CD">
        <w:t xml:space="preserve"> die Sowjetunion</w:t>
      </w:r>
      <w:r w:rsidR="00A8559F">
        <w:t xml:space="preserve"> kurze Zeit zuvor</w:t>
      </w:r>
      <w:r w:rsidR="008A37CD">
        <w:t xml:space="preserve"> in einer Note </w:t>
      </w:r>
      <w:r w:rsidR="00A655C3">
        <w:t xml:space="preserve">an die Westmächte </w:t>
      </w:r>
      <w:r w:rsidR="008A37CD">
        <w:t>formuliert hat</w:t>
      </w:r>
      <w:r w:rsidR="0075143E">
        <w:t>: den Abschluss eine</w:t>
      </w:r>
      <w:r w:rsidR="00835494">
        <w:t>s</w:t>
      </w:r>
      <w:r w:rsidR="0075143E">
        <w:t xml:space="preserve"> kollektiven Be</w:t>
      </w:r>
      <w:r w:rsidR="0075143E">
        <w:t>i</w:t>
      </w:r>
      <w:r w:rsidR="0075143E">
        <w:t>standspaktes.</w:t>
      </w:r>
      <w:r w:rsidR="00A655C3">
        <w:t xml:space="preserve"> </w:t>
      </w:r>
      <w:r w:rsidR="0075143E">
        <w:t>Schwarzschild</w:t>
      </w:r>
      <w:r w:rsidR="00A655C3">
        <w:t xml:space="preserve"> unterstützt diese Argumentation</w:t>
      </w:r>
      <w:r w:rsidR="008A37CD">
        <w:t xml:space="preserve">: </w:t>
      </w:r>
    </w:p>
    <w:p w:rsidR="00CC0FC7" w:rsidRDefault="008A37CD" w:rsidP="00CC0FC7">
      <w:pPr>
        <w:spacing w:after="0"/>
        <w:ind w:left="1134"/>
        <w:jc w:val="both"/>
      </w:pPr>
      <w:r>
        <w:t>„Es gibt vielmehr ‚</w:t>
      </w:r>
      <w:r>
        <w:rPr>
          <w:i/>
        </w:rPr>
        <w:t xml:space="preserve">nur ein einziges Mittel‘ </w:t>
      </w:r>
      <w:r>
        <w:t>– nur ein einziges! – ‚das der dringe</w:t>
      </w:r>
      <w:r>
        <w:t>n</w:t>
      </w:r>
      <w:r>
        <w:t xml:space="preserve">den und konkreten Gefahr eines neuen Waffengangs der Völker entgegengesetzt </w:t>
      </w:r>
      <w:r>
        <w:lastRenderedPageBreak/>
        <w:t xml:space="preserve">werden kann‘. Diese </w:t>
      </w:r>
      <w:r w:rsidR="008841EC">
        <w:t>[…]</w:t>
      </w:r>
      <w:r>
        <w:t xml:space="preserve"> Mittel ist ‚die Verpflichtung der Staaten, die der Gefahr ehrlich in den Weg treten wollen, sich </w:t>
      </w:r>
      <w:r>
        <w:rPr>
          <w:i/>
        </w:rPr>
        <w:t>im Kriegsfall gegenseitig zu helfen</w:t>
      </w:r>
      <w:proofErr w:type="gramStart"/>
      <w:r>
        <w:rPr>
          <w:i/>
        </w:rPr>
        <w:t>.‘</w:t>
      </w:r>
      <w:proofErr w:type="gramEnd"/>
      <w:r>
        <w:t>“</w:t>
      </w:r>
      <w:r w:rsidR="00CC0FC7">
        <w:rPr>
          <w:rStyle w:val="Funotenzeichen"/>
        </w:rPr>
        <w:footnoteReference w:id="4"/>
      </w:r>
      <w:r>
        <w:t xml:space="preserve"> </w:t>
      </w:r>
    </w:p>
    <w:p w:rsidR="008A37CD" w:rsidRDefault="008A37CD" w:rsidP="00CC0FC7">
      <w:pPr>
        <w:spacing w:after="0"/>
        <w:jc w:val="both"/>
      </w:pPr>
      <w:r w:rsidRPr="00A655C3">
        <w:rPr>
          <w:i/>
        </w:rPr>
        <w:t xml:space="preserve">Verträge </w:t>
      </w:r>
      <w:r w:rsidRPr="00D05A90">
        <w:t>über Rüstungsbegrenzung erachtet Schwarzschild für nutzlos</w:t>
      </w:r>
      <w:r w:rsidRPr="00A655C3">
        <w:rPr>
          <w:i/>
        </w:rPr>
        <w:t>.</w:t>
      </w:r>
      <w:r>
        <w:t xml:space="preserve"> </w:t>
      </w:r>
      <w:r w:rsidR="00D05A90">
        <w:t>Entscheidend ist vielmehr die Bereitschaft zu sofortiger militärischer Intervention. Gerade in dieser Frage stimmt Schwarzschild der Sowjetunion und ihren Vorschlägen zu:</w:t>
      </w:r>
    </w:p>
    <w:p w:rsidR="008A37CD" w:rsidRDefault="008A37CD" w:rsidP="008A37CD">
      <w:pPr>
        <w:spacing w:after="0"/>
        <w:ind w:left="1134"/>
        <w:jc w:val="both"/>
      </w:pPr>
      <w:r>
        <w:t>„Dem pseudo-gerechten Getue, als gebe es eine ‚Gleichheit von allem, was Regi</w:t>
      </w:r>
      <w:r>
        <w:t>e</w:t>
      </w:r>
      <w:r>
        <w:t xml:space="preserve">rungs-Antlitz trägt‘, stellt sie [die Moskauer Regierung] die grobe Grund-Wahrheit gegenüber, </w:t>
      </w:r>
      <w:proofErr w:type="spellStart"/>
      <w:r>
        <w:t>daß</w:t>
      </w:r>
      <w:proofErr w:type="spellEnd"/>
      <w:r>
        <w:t xml:space="preserve"> es kriegs- und friedenssüchtige Regierungen gibt, – und zwar ganz bestimmte, mit Namen zu benennende.</w:t>
      </w:r>
    </w:p>
    <w:p w:rsidR="008A37CD" w:rsidRDefault="008A37CD" w:rsidP="008A37CD">
      <w:pPr>
        <w:spacing w:after="0"/>
        <w:ind w:left="1134"/>
        <w:jc w:val="both"/>
      </w:pPr>
      <w:r>
        <w:t>Dem pseudo-pazifistischen Getue, als seien die Waffen des Kriegssüchtigen durch irgendwelche Seelen-Massage, durch irgendwelche Zaubersprüchlein zu entkrä</w:t>
      </w:r>
      <w:r>
        <w:t>f</w:t>
      </w:r>
      <w:r>
        <w:t xml:space="preserve">ten, setzt sie die brutale These entgegen, </w:t>
      </w:r>
      <w:proofErr w:type="spellStart"/>
      <w:r>
        <w:t>daß</w:t>
      </w:r>
      <w:proofErr w:type="spellEnd"/>
      <w:r>
        <w:t xml:space="preserve"> es keine andere Wehr gibt als nur eben wieder Waffen, zahlreichere Waffen, verbündete Waffen.“</w:t>
      </w:r>
      <w:r w:rsidR="00CC0FC7">
        <w:rPr>
          <w:rStyle w:val="Funotenzeichen"/>
        </w:rPr>
        <w:footnoteReference w:id="5"/>
      </w:r>
      <w:r>
        <w:t xml:space="preserve"> </w:t>
      </w:r>
    </w:p>
    <w:p w:rsidR="000A0F53" w:rsidRDefault="00D05A90" w:rsidP="008A37CD">
      <w:pPr>
        <w:spacing w:after="0"/>
        <w:jc w:val="both"/>
      </w:pPr>
      <w:r>
        <w:t>Implizit ist diese Feststellung gegen britische Pläne für ein Flottenabkommen mit dem Dritten Reich</w:t>
      </w:r>
      <w:r w:rsidR="00571409">
        <w:t xml:space="preserve"> </w:t>
      </w:r>
      <w:r>
        <w:t xml:space="preserve">gerichtet. </w:t>
      </w:r>
    </w:p>
    <w:p w:rsidR="008A37CD" w:rsidRDefault="000A0F53" w:rsidP="000A0F53">
      <w:pPr>
        <w:spacing w:after="0"/>
        <w:ind w:firstLine="708"/>
        <w:jc w:val="both"/>
      </w:pPr>
      <w:r>
        <w:t>Im letzten Teil</w:t>
      </w:r>
      <w:r w:rsidR="0075143E">
        <w:t xml:space="preserve"> </w:t>
      </w:r>
      <w:r>
        <w:t xml:space="preserve">gewinnt der Artikel </w:t>
      </w:r>
      <w:r w:rsidR="00DB3359">
        <w:t xml:space="preserve">eine zunehmend </w:t>
      </w:r>
      <w:r w:rsidR="008A37CD">
        <w:t>resign</w:t>
      </w:r>
      <w:r>
        <w:t>ativ</w:t>
      </w:r>
      <w:r w:rsidR="008A37CD">
        <w:t>e</w:t>
      </w:r>
      <w:r w:rsidR="00DB3359">
        <w:t xml:space="preserve"> Färbung</w:t>
      </w:r>
      <w:r w:rsidR="0075143E">
        <w:t xml:space="preserve">. </w:t>
      </w:r>
      <w:r>
        <w:t>Schwar</w:t>
      </w:r>
      <w:r>
        <w:t>z</w:t>
      </w:r>
      <w:r>
        <w:t>schild</w:t>
      </w:r>
      <w:r w:rsidR="0075143E">
        <w:t xml:space="preserve"> sieht voraus, dass der deutschen Aufrüstung kein Einhalt geboten wird</w:t>
      </w:r>
      <w:r w:rsidR="008A37CD">
        <w:t>:</w:t>
      </w:r>
    </w:p>
    <w:p w:rsidR="008A37CD" w:rsidRDefault="008A37CD" w:rsidP="008A37CD">
      <w:pPr>
        <w:spacing w:after="0"/>
        <w:ind w:left="1134"/>
        <w:jc w:val="both"/>
      </w:pPr>
      <w:r>
        <w:t xml:space="preserve">„Aber die Dinge gehen ihren Gang, die Flugzeuge strömen aus Hitlers Fabriken, die Kasernen wachsen wie Pilze nach dem Regen […]“. </w:t>
      </w:r>
    </w:p>
    <w:p w:rsidR="00BD5634" w:rsidRDefault="00F11E22" w:rsidP="00BD5634">
      <w:pPr>
        <w:spacing w:after="0"/>
        <w:jc w:val="both"/>
      </w:pPr>
      <w:r>
        <w:t>In welchem Maße Leopold Schwarzschild mit seinem Appell zum „Risiko“ Recht hat, ve</w:t>
      </w:r>
      <w:r>
        <w:t>r</w:t>
      </w:r>
      <w:r>
        <w:t>deutlicht e</w:t>
      </w:r>
      <w:r w:rsidR="00783220">
        <w:t xml:space="preserve">in Blick auf die </w:t>
      </w:r>
      <w:r w:rsidR="000A0F53">
        <w:t xml:space="preserve">nachfolgende </w:t>
      </w:r>
      <w:r w:rsidR="00783220">
        <w:t xml:space="preserve">Entwicklung: </w:t>
      </w:r>
      <w:r w:rsidR="00A91097">
        <w:t>A</w:t>
      </w:r>
      <w:r w:rsidR="001A67FB">
        <w:t xml:space="preserve">m </w:t>
      </w:r>
      <w:r w:rsidR="00DB3359">
        <w:t>9. März 1935 gibt Hitler öffentlich bekannt, dass Deutschland inzwischen über eine eigene Luftwaffe verfüg</w:t>
      </w:r>
      <w:r w:rsidR="00293FC5">
        <w:t>t</w:t>
      </w:r>
      <w:r>
        <w:t>. A</w:t>
      </w:r>
      <w:r w:rsidR="00DB3359">
        <w:t xml:space="preserve">m 16. März 1935 wird </w:t>
      </w:r>
      <w:r w:rsidR="00293FC5">
        <w:t xml:space="preserve">in Deutschland </w:t>
      </w:r>
      <w:r w:rsidR="00DB3359">
        <w:t>die Allgemeine Wehrpflicht eingeführt</w:t>
      </w:r>
      <w:r>
        <w:t>.</w:t>
      </w:r>
      <w:r w:rsidR="00DB3359">
        <w:t xml:space="preserve"> </w:t>
      </w:r>
      <w:r>
        <w:t>G</w:t>
      </w:r>
      <w:r w:rsidR="00DB3359">
        <w:t>leichzeitig wird die Frieden</w:t>
      </w:r>
      <w:r w:rsidR="00DB3359">
        <w:t>s</w:t>
      </w:r>
      <w:r w:rsidR="00DB3359">
        <w:t xml:space="preserve">stärke des Heeres von 21 auf 36 Divisionen erhöht. </w:t>
      </w:r>
      <w:r w:rsidR="00BD5634">
        <w:t>– D</w:t>
      </w:r>
      <w:r w:rsidR="000A0F53">
        <w:t>ie</w:t>
      </w:r>
      <w:r w:rsidR="00293FC5">
        <w:t>se</w:t>
      </w:r>
      <w:r w:rsidR="000A0F53">
        <w:t xml:space="preserve"> </w:t>
      </w:r>
      <w:r w:rsidR="00293FC5">
        <w:t>Mitteilungen</w:t>
      </w:r>
      <w:r w:rsidR="000A0F53">
        <w:t xml:space="preserve"> lös</w:t>
      </w:r>
      <w:r w:rsidR="00293FC5">
        <w:t>en</w:t>
      </w:r>
      <w:r w:rsidR="000A0F53">
        <w:t xml:space="preserve"> </w:t>
      </w:r>
      <w:r w:rsidR="009374DF">
        <w:t xml:space="preserve">diplomatische </w:t>
      </w:r>
      <w:r w:rsidR="00DB3359">
        <w:t>Proteste aus, aber an den Fakten</w:t>
      </w:r>
      <w:r w:rsidR="000A0F53">
        <w:t xml:space="preserve"> </w:t>
      </w:r>
      <w:r w:rsidR="00DB3359">
        <w:t>änder</w:t>
      </w:r>
      <w:r w:rsidR="000A0F53">
        <w:t>t sich damit</w:t>
      </w:r>
      <w:r w:rsidR="009374DF">
        <w:t xml:space="preserve"> </w:t>
      </w:r>
      <w:r w:rsidR="00DB3359">
        <w:t xml:space="preserve">nichts. </w:t>
      </w:r>
    </w:p>
    <w:p w:rsidR="00A91097" w:rsidRDefault="00293FC5" w:rsidP="00BD5634">
      <w:pPr>
        <w:spacing w:after="0"/>
        <w:ind w:firstLine="708"/>
        <w:jc w:val="both"/>
      </w:pPr>
      <w:r>
        <w:t>Aus der Rückschau formuliert e</w:t>
      </w:r>
      <w:r w:rsidR="00332F67">
        <w:t>in Insider, d</w:t>
      </w:r>
      <w:r w:rsidR="009374DF">
        <w:t>er damalige französische Botschafter in Berlin André François-Poncet</w:t>
      </w:r>
      <w:r w:rsidR="00332F67">
        <w:t xml:space="preserve">, </w:t>
      </w:r>
      <w:r w:rsidR="00A8559F">
        <w:t xml:space="preserve">ein vernichtendes Urteil </w:t>
      </w:r>
      <w:r w:rsidR="009374DF">
        <w:t>über die Reaktion</w:t>
      </w:r>
      <w:r>
        <w:t>en</w:t>
      </w:r>
      <w:r w:rsidR="00BD5634">
        <w:t xml:space="preserve"> der Westmächte</w:t>
      </w:r>
      <w:r w:rsidR="00F11E22">
        <w:t>:</w:t>
      </w:r>
      <w:r w:rsidR="00DB3359">
        <w:t xml:space="preserve"> </w:t>
      </w:r>
      <w:r w:rsidR="00BD5634">
        <w:t>Nach der Vertragslage</w:t>
      </w:r>
      <w:r w:rsidR="00332F67">
        <w:t xml:space="preserve"> </w:t>
      </w:r>
      <w:r w:rsidR="00BD5634">
        <w:t xml:space="preserve">habe </w:t>
      </w:r>
      <w:r w:rsidR="00D35A08">
        <w:t>aufgrund dieser Informationen</w:t>
      </w:r>
      <w:r w:rsidR="00BD5634">
        <w:t xml:space="preserve"> </w:t>
      </w:r>
      <w:r w:rsidR="00332F67">
        <w:t xml:space="preserve">der Casus </w:t>
      </w:r>
      <w:proofErr w:type="spellStart"/>
      <w:r w:rsidR="00332F67">
        <w:t>belli</w:t>
      </w:r>
      <w:proofErr w:type="spellEnd"/>
      <w:r w:rsidR="00332F67">
        <w:t xml:space="preserve"> </w:t>
      </w:r>
      <w:r w:rsidR="00BD5634">
        <w:t>vorgeleg</w:t>
      </w:r>
      <w:r w:rsidR="00332F67">
        <w:t xml:space="preserve">en. </w:t>
      </w:r>
      <w:r w:rsidR="00D35A08">
        <w:t>E</w:t>
      </w:r>
      <w:r w:rsidR="00BD5634">
        <w:t xml:space="preserve">in „Machtwort“ </w:t>
      </w:r>
      <w:r w:rsidR="00D35A08">
        <w:t xml:space="preserve">als Reaktion wäre </w:t>
      </w:r>
      <w:r w:rsidR="00BD5634">
        <w:t>„die einzige Sprache [gewesen], die Hitler verstanden hätte“.</w:t>
      </w:r>
      <w:r w:rsidR="00BD5634">
        <w:rPr>
          <w:rStyle w:val="Funotenzeichen"/>
        </w:rPr>
        <w:footnoteReference w:id="6"/>
      </w:r>
      <w:r w:rsidR="00BD5634">
        <w:t xml:space="preserve"> </w:t>
      </w:r>
      <w:r w:rsidR="00332F67">
        <w:t>D</w:t>
      </w:r>
      <w:r w:rsidR="00A8559F">
        <w:t xml:space="preserve">ie </w:t>
      </w:r>
      <w:r w:rsidR="00332F67">
        <w:t xml:space="preserve">Westmächte </w:t>
      </w:r>
      <w:r w:rsidR="00D35A08">
        <w:t>weigerten</w:t>
      </w:r>
      <w:r w:rsidR="00A8559F">
        <w:t xml:space="preserve"> </w:t>
      </w:r>
      <w:r w:rsidR="00332F67">
        <w:t>sich jedoch, de</w:t>
      </w:r>
      <w:r w:rsidR="00BD5634">
        <w:t>n</w:t>
      </w:r>
      <w:r w:rsidR="00332F67">
        <w:t xml:space="preserve"> Sach</w:t>
      </w:r>
      <w:r w:rsidR="00BD5634">
        <w:t>verhalt</w:t>
      </w:r>
      <w:r w:rsidR="00332F67">
        <w:t xml:space="preserve"> </w:t>
      </w:r>
      <w:r w:rsidR="00D35A08">
        <w:t xml:space="preserve">auch nur </w:t>
      </w:r>
      <w:r w:rsidR="00DB3359">
        <w:t xml:space="preserve">zur Kenntnis </w:t>
      </w:r>
      <w:r w:rsidR="00332F67">
        <w:t xml:space="preserve">zu </w:t>
      </w:r>
      <w:r w:rsidR="00DB3359">
        <w:t>nehmen</w:t>
      </w:r>
      <w:r w:rsidR="00332F67">
        <w:t xml:space="preserve">. </w:t>
      </w:r>
      <w:r w:rsidR="00D35A08">
        <w:t xml:space="preserve">Doch nicht nur das: </w:t>
      </w:r>
      <w:r w:rsidR="00BD5634">
        <w:t>D</w:t>
      </w:r>
      <w:r w:rsidR="00F37B1B">
        <w:t>er Vertragsbruch w</w:t>
      </w:r>
      <w:r w:rsidR="00BD5634">
        <w:t>u</w:t>
      </w:r>
      <w:r w:rsidR="00F37B1B">
        <w:t>rd</w:t>
      </w:r>
      <w:r w:rsidR="00BD5634">
        <w:t>e</w:t>
      </w:r>
      <w:r w:rsidR="00F37B1B">
        <w:t xml:space="preserve"> </w:t>
      </w:r>
      <w:r w:rsidR="00D35A08">
        <w:t xml:space="preserve">sogar </w:t>
      </w:r>
      <w:r w:rsidR="00F11E22">
        <w:t>sanktioniert</w:t>
      </w:r>
      <w:r w:rsidR="00332F67">
        <w:t xml:space="preserve">: </w:t>
      </w:r>
      <w:r w:rsidR="001A67FB">
        <w:t>A</w:t>
      </w:r>
      <w:r w:rsidR="008A37CD">
        <w:t xml:space="preserve">m 18. Juni 1935 </w:t>
      </w:r>
      <w:r w:rsidR="00F37B1B">
        <w:t>schl</w:t>
      </w:r>
      <w:r w:rsidR="000D5789">
        <w:t>oss</w:t>
      </w:r>
      <w:r w:rsidR="00F37B1B">
        <w:t xml:space="preserve"> Großbritannien mit Deutschland </w:t>
      </w:r>
      <w:r w:rsidR="00DB3359">
        <w:t>ein</w:t>
      </w:r>
      <w:r w:rsidR="008A37CD">
        <w:t xml:space="preserve"> </w:t>
      </w:r>
      <w:r w:rsidR="00F37B1B">
        <w:t xml:space="preserve">wechselseitiges </w:t>
      </w:r>
      <w:r w:rsidR="008A37CD">
        <w:t>Flottenabkommen</w:t>
      </w:r>
      <w:r w:rsidR="000D5789">
        <w:t xml:space="preserve"> ab</w:t>
      </w:r>
      <w:r w:rsidR="008A37CD">
        <w:t>.</w:t>
      </w:r>
      <w:r w:rsidR="009374DF" w:rsidRPr="009374DF">
        <w:t xml:space="preserve"> </w:t>
      </w:r>
      <w:r w:rsidR="00CC0FC7">
        <w:t>D</w:t>
      </w:r>
      <w:r w:rsidR="006B1F14">
        <w:t>amit hat</w:t>
      </w:r>
      <w:r w:rsidR="00CC0FC7">
        <w:t>te</w:t>
      </w:r>
      <w:r w:rsidR="006B1F14">
        <w:t xml:space="preserve"> Hitler </w:t>
      </w:r>
      <w:r w:rsidR="00D35A08">
        <w:t xml:space="preserve">implizit </w:t>
      </w:r>
      <w:r w:rsidR="006B1F14">
        <w:t xml:space="preserve">die Zustimmung einer der Siegermächte des Ersten Weltkrieges für </w:t>
      </w:r>
      <w:r w:rsidR="000D5789">
        <w:t>s</w:t>
      </w:r>
      <w:r w:rsidR="006B1F14">
        <w:t>eine Aufrüstung erhalten.</w:t>
      </w:r>
      <w:r w:rsidR="00332F67" w:rsidRPr="00332F67">
        <w:t xml:space="preserve"> </w:t>
      </w:r>
      <w:r w:rsidR="00332F67">
        <w:t>Zuerst schert</w:t>
      </w:r>
      <w:r w:rsidR="000D5789">
        <w:t>e</w:t>
      </w:r>
      <w:r w:rsidR="00332F67">
        <w:t xml:space="preserve"> </w:t>
      </w:r>
      <w:r w:rsidR="000D5789">
        <w:t xml:space="preserve">also </w:t>
      </w:r>
      <w:r w:rsidR="00332F67">
        <w:t>Großbritannien aus der Abwehrfront aus, dann folgt</w:t>
      </w:r>
      <w:r w:rsidR="000D5789">
        <w:t>e</w:t>
      </w:r>
      <w:r w:rsidR="00332F67">
        <w:t xml:space="preserve"> Italien.</w:t>
      </w:r>
      <w:r w:rsidR="00CC0FC7">
        <w:rPr>
          <w:rStyle w:val="Funotenzeichen"/>
        </w:rPr>
        <w:footnoteReference w:id="7"/>
      </w:r>
    </w:p>
    <w:p w:rsidR="0098250F" w:rsidRDefault="00B7441B" w:rsidP="00977749">
      <w:pPr>
        <w:spacing w:after="0"/>
        <w:ind w:firstLine="708"/>
        <w:jc w:val="both"/>
      </w:pPr>
      <w:r>
        <w:t>Mit dem deutsch-britischen Flottenabkommen</w:t>
      </w:r>
      <w:r w:rsidR="00750C83">
        <w:t xml:space="preserve"> waren </w:t>
      </w:r>
      <w:r w:rsidR="002C6190">
        <w:t>alle B</w:t>
      </w:r>
      <w:r w:rsidR="00750C83">
        <w:t>e</w:t>
      </w:r>
      <w:r w:rsidR="002C6190">
        <w:t>mühungen</w:t>
      </w:r>
      <w:r w:rsidR="00750C83">
        <w:t xml:space="preserve">, auf </w:t>
      </w:r>
      <w:r w:rsidR="002C6190">
        <w:t>Basis</w:t>
      </w:r>
      <w:r w:rsidR="00750C83">
        <w:t xml:space="preserve"> des Versailler Vertrags </w:t>
      </w:r>
      <w:r w:rsidR="002C6190">
        <w:t>die Machtbalance in Europa zu regeln</w:t>
      </w:r>
      <w:r w:rsidR="00750C83">
        <w:t xml:space="preserve">, </w:t>
      </w:r>
      <w:r w:rsidR="00332F67">
        <w:t xml:space="preserve">endgültig </w:t>
      </w:r>
      <w:r w:rsidR="00750C83">
        <w:t xml:space="preserve">desavouiert. Aus diesem Sachverhalt zog Hitler den naheliegenden Schluss: </w:t>
      </w:r>
      <w:r w:rsidR="009374DF">
        <w:t>Am 7. März 1936 folgt</w:t>
      </w:r>
      <w:r>
        <w:t>e</w:t>
      </w:r>
      <w:r w:rsidR="009374DF">
        <w:t xml:space="preserve"> die Besetzung des nach dem Versailler Vertrag entmilitarisierten Rheinlands.</w:t>
      </w:r>
      <w:r w:rsidR="00750C83">
        <w:t xml:space="preserve"> Der Termin war gut gewählt: Er lag genau zwischen dem Datum der Olympischen Winterspiele, die </w:t>
      </w:r>
      <w:r w:rsidR="000D5789">
        <w:t xml:space="preserve">im Februar </w:t>
      </w:r>
      <w:r w:rsidR="00750C83">
        <w:t>1936 in Ga</w:t>
      </w:r>
      <w:r w:rsidR="00750C83">
        <w:t>r</w:t>
      </w:r>
      <w:r w:rsidR="00750C83">
        <w:t>misch-Patenkirchen abgehalten wurden, und dem der Sommerspiele in Berlin.</w:t>
      </w:r>
      <w:r w:rsidR="00A91097">
        <w:t xml:space="preserve"> </w:t>
      </w:r>
      <w:r w:rsidR="00CC0FC7">
        <w:t>Polit</w:t>
      </w:r>
      <w:r w:rsidR="00332F67">
        <w:t>isch war Deutschland im Vorteil</w:t>
      </w:r>
      <w:r w:rsidR="00CC0FC7">
        <w:t>, obwohl es militärisch zu diesem Zeitpunkt noch schwach war</w:t>
      </w:r>
      <w:r w:rsidR="00332F67">
        <w:t xml:space="preserve">: </w:t>
      </w:r>
      <w:r w:rsidR="0098250F">
        <w:t>Fran</w:t>
      </w:r>
      <w:r w:rsidR="0098250F">
        <w:t>k</w:t>
      </w:r>
      <w:r w:rsidR="0098250F">
        <w:lastRenderedPageBreak/>
        <w:t>reich hätte gegen die Besetzung des Rheinlands allein, ohne britische oder belgische Unte</w:t>
      </w:r>
      <w:r w:rsidR="0098250F">
        <w:t>r</w:t>
      </w:r>
      <w:r w:rsidR="0098250F">
        <w:t xml:space="preserve">stützung, vorgehen müssen. Ausschlaggebend </w:t>
      </w:r>
      <w:r w:rsidR="00052452">
        <w:t>für d</w:t>
      </w:r>
      <w:r w:rsidR="00CF50E0">
        <w:t>i</w:t>
      </w:r>
      <w:r w:rsidR="00052452">
        <w:t>e</w:t>
      </w:r>
      <w:r w:rsidR="00CF50E0">
        <w:t xml:space="preserve"> Entscheidung</w:t>
      </w:r>
      <w:r w:rsidR="00052452">
        <w:t xml:space="preserve">, von einer militärischen Reaktion Abstand zu nehmen, </w:t>
      </w:r>
      <w:r w:rsidR="0098250F">
        <w:t>war d</w:t>
      </w:r>
      <w:r w:rsidR="00052452">
        <w:t>ie Tatsache,</w:t>
      </w:r>
      <w:r w:rsidR="0098250F">
        <w:t xml:space="preserve"> dass General </w:t>
      </w:r>
      <w:proofErr w:type="spellStart"/>
      <w:r w:rsidR="0098250F">
        <w:t>Gamelin</w:t>
      </w:r>
      <w:proofErr w:type="spellEnd"/>
      <w:r w:rsidR="00CF50E0">
        <w:t>, der Generalstabschef,</w:t>
      </w:r>
      <w:r w:rsidR="0098250F">
        <w:t xml:space="preserve"> für jede </w:t>
      </w:r>
      <w:r w:rsidR="00052452">
        <w:t>sol</w:t>
      </w:r>
      <w:r w:rsidR="00977749">
        <w:t>che</w:t>
      </w:r>
      <w:r w:rsidR="0098250F">
        <w:t xml:space="preserve"> Aktion die Allgemeine Mobilmachung</w:t>
      </w:r>
      <w:r w:rsidR="00977749">
        <w:t xml:space="preserve"> verlangte</w:t>
      </w:r>
      <w:r>
        <w:t>.</w:t>
      </w:r>
      <w:r w:rsidR="0098250F">
        <w:t xml:space="preserve"> </w:t>
      </w:r>
      <w:r w:rsidR="00052452">
        <w:t>Vor der Allgemeinen M</w:t>
      </w:r>
      <w:r w:rsidR="00052452">
        <w:t>o</w:t>
      </w:r>
      <w:r w:rsidR="00052452">
        <w:t>bilmachung</w:t>
      </w:r>
      <w:r w:rsidR="0098250F">
        <w:t xml:space="preserve"> </w:t>
      </w:r>
      <w:r>
        <w:t xml:space="preserve">jedoch </w:t>
      </w:r>
      <w:r w:rsidR="0098250F">
        <w:t xml:space="preserve">schreckte die </w:t>
      </w:r>
      <w:r w:rsidR="00977749">
        <w:t xml:space="preserve">französische </w:t>
      </w:r>
      <w:r w:rsidR="0098250F">
        <w:t>Regierung zurück.</w:t>
      </w:r>
      <w:r w:rsidR="0098250F">
        <w:rPr>
          <w:rStyle w:val="Funotenzeichen"/>
        </w:rPr>
        <w:footnoteReference w:id="8"/>
      </w:r>
    </w:p>
    <w:p w:rsidR="006F0D32" w:rsidRDefault="006F0D32" w:rsidP="000573C6">
      <w:pPr>
        <w:spacing w:after="0"/>
        <w:ind w:firstLine="708"/>
        <w:jc w:val="both"/>
      </w:pPr>
    </w:p>
    <w:p w:rsidR="00EA75E5" w:rsidRDefault="00783220" w:rsidP="000573C6">
      <w:pPr>
        <w:spacing w:after="0"/>
        <w:ind w:firstLine="708"/>
        <w:jc w:val="both"/>
      </w:pPr>
      <w:r>
        <w:t xml:space="preserve">Während das </w:t>
      </w:r>
      <w:r w:rsidR="000573C6">
        <w:t xml:space="preserve">Deutsche Reich </w:t>
      </w:r>
      <w:r>
        <w:t xml:space="preserve">die </w:t>
      </w:r>
      <w:r w:rsidR="00F6035B">
        <w:t xml:space="preserve">militärische </w:t>
      </w:r>
      <w:r>
        <w:t>Aufrüstung forciert</w:t>
      </w:r>
      <w:r w:rsidR="00EC17A0">
        <w:t xml:space="preserve"> und sich </w:t>
      </w:r>
      <w:r w:rsidR="005B530B">
        <w:t>damit</w:t>
      </w:r>
      <w:r w:rsidR="00EC17A0">
        <w:t xml:space="preserve"> i</w:t>
      </w:r>
      <w:r w:rsidR="00EC17A0">
        <w:t>m</w:t>
      </w:r>
      <w:r w:rsidR="00EC17A0">
        <w:t xml:space="preserve">mer stärker von den Fesseln befreit, die der Versailler Vertrag </w:t>
      </w:r>
      <w:r w:rsidR="000573C6">
        <w:t>ih</w:t>
      </w:r>
      <w:r w:rsidR="00EC17A0">
        <w:t>m auferlegt hatte</w:t>
      </w:r>
      <w:r>
        <w:t xml:space="preserve">, gerät </w:t>
      </w:r>
      <w:r w:rsidR="00EA75E5">
        <w:t xml:space="preserve">im Pariser Exil </w:t>
      </w:r>
      <w:r w:rsidR="00DD745C">
        <w:t>die Diskussion über eine deutsche „Volksfront“</w:t>
      </w:r>
      <w:r w:rsidR="00EA75E5">
        <w:t xml:space="preserve"> – kaum dass sie begonnen hat – in eine zunehmend stärkere Krise</w:t>
      </w:r>
      <w:r w:rsidR="00A85BBF">
        <w:t>.</w:t>
      </w:r>
      <w:r w:rsidR="00D5174D">
        <w:t xml:space="preserve"> Die Ursache dafür ist, dass die KPD, zweifelsohne der wichtigste Partner der „Volksfront“-Bemühungen, Schritt für Schritt jedwede Glaubwürdi</w:t>
      </w:r>
      <w:r w:rsidR="00D5174D">
        <w:t>g</w:t>
      </w:r>
      <w:r w:rsidR="00D5174D">
        <w:t xml:space="preserve">keit </w:t>
      </w:r>
      <w:r w:rsidR="003E27CA">
        <w:t xml:space="preserve">verliert. Das auslösende Moment </w:t>
      </w:r>
      <w:r w:rsidR="00D5174D">
        <w:t>ist</w:t>
      </w:r>
      <w:r w:rsidR="003E27CA">
        <w:t xml:space="preserve"> zum einen </w:t>
      </w:r>
      <w:r w:rsidR="00D5174D">
        <w:t>der bereits an anderer Stelle</w:t>
      </w:r>
      <w:r w:rsidR="00D5174D">
        <w:rPr>
          <w:rStyle w:val="Funotenzeichen"/>
        </w:rPr>
        <w:footnoteReference w:id="9"/>
      </w:r>
      <w:r w:rsidR="00D5174D">
        <w:t xml:space="preserve"> thematisierte Skandal um das </w:t>
      </w:r>
      <w:r w:rsidR="00D5174D">
        <w:rPr>
          <w:i/>
        </w:rPr>
        <w:t>Pariser Tageblatt</w:t>
      </w:r>
      <w:r w:rsidR="003B3D27">
        <w:t>, dann</w:t>
      </w:r>
      <w:r w:rsidR="00D5174D">
        <w:rPr>
          <w:i/>
        </w:rPr>
        <w:t xml:space="preserve"> </w:t>
      </w:r>
      <w:r w:rsidR="00D5174D">
        <w:t>der von kommunistischer Seite unternommene Ve</w:t>
      </w:r>
      <w:r w:rsidR="00D5174D">
        <w:t>r</w:t>
      </w:r>
      <w:r w:rsidR="00D5174D">
        <w:t>such, Leopold Schwarzschild mit gefälschten Unterlagen eine Zusammenarbeit mit den Nat</w:t>
      </w:r>
      <w:r w:rsidR="00D5174D">
        <w:t>i</w:t>
      </w:r>
      <w:r w:rsidR="00D5174D">
        <w:t xml:space="preserve">onalsozialisten zu unterstellen, </w:t>
      </w:r>
      <w:r w:rsidR="00A54467">
        <w:t>vor allem aber</w:t>
      </w:r>
      <w:r w:rsidR="00D5174D">
        <w:t xml:space="preserve"> </w:t>
      </w:r>
      <w:r w:rsidR="003E27CA">
        <w:t xml:space="preserve">die </w:t>
      </w:r>
      <w:r w:rsidR="00D5174D">
        <w:t xml:space="preserve">immer </w:t>
      </w:r>
      <w:r w:rsidR="005B530B">
        <w:t>st</w:t>
      </w:r>
      <w:r w:rsidR="00D5174D">
        <w:t>ärker</w:t>
      </w:r>
      <w:r w:rsidR="005B530B">
        <w:t xml:space="preserve"> anwachsende </w:t>
      </w:r>
      <w:r w:rsidR="003E27CA">
        <w:t>Diskussion über die Moskauer Prozesse</w:t>
      </w:r>
      <w:r w:rsidR="00D5174D">
        <w:t>.</w:t>
      </w:r>
      <w:r w:rsidR="00197D5D">
        <w:rPr>
          <w:rStyle w:val="Funotenzeichen"/>
        </w:rPr>
        <w:footnoteReference w:id="10"/>
      </w:r>
      <w:r w:rsidR="00B7441B">
        <w:t xml:space="preserve"> Die „Volksfront“-Diskussion – ein Bemühen, das sich im l</w:t>
      </w:r>
      <w:r w:rsidR="00B7441B">
        <w:t>e</w:t>
      </w:r>
      <w:r w:rsidR="00B7441B">
        <w:t>gendären „</w:t>
      </w:r>
      <w:proofErr w:type="spellStart"/>
      <w:r w:rsidR="00B7441B">
        <w:t>Lutetia</w:t>
      </w:r>
      <w:proofErr w:type="spellEnd"/>
      <w:r w:rsidR="00B7441B">
        <w:t xml:space="preserve">“-Kreis, in gemeinsamen Resolutionen und weit ausgreifenden Programm-Diskussionen niederschlägt – </w:t>
      </w:r>
      <w:r w:rsidR="00D5174D">
        <w:t>gerät unter diesen Umständen zuneh</w:t>
      </w:r>
      <w:r w:rsidR="00B7441B">
        <w:t>mend zu</w:t>
      </w:r>
      <w:r w:rsidR="00D5174D">
        <w:t>r</w:t>
      </w:r>
      <w:r w:rsidR="00B7441B">
        <w:t xml:space="preserve"> </w:t>
      </w:r>
      <w:r w:rsidR="005B530B">
        <w:t xml:space="preserve">politischen </w:t>
      </w:r>
      <w:r w:rsidR="00B7441B">
        <w:t>Fa</w:t>
      </w:r>
      <w:r w:rsidR="00B7441B">
        <w:t>r</w:t>
      </w:r>
      <w:r w:rsidR="00B7441B">
        <w:t>ce.</w:t>
      </w:r>
      <w:r w:rsidR="008A25F6">
        <w:rPr>
          <w:rStyle w:val="Funotenzeichen"/>
        </w:rPr>
        <w:footnoteReference w:id="11"/>
      </w:r>
    </w:p>
    <w:p w:rsidR="00A85BBF" w:rsidRDefault="00A85BBF" w:rsidP="00EA75E5">
      <w:pPr>
        <w:spacing w:after="0"/>
        <w:ind w:firstLine="708"/>
        <w:jc w:val="both"/>
      </w:pPr>
      <w:r>
        <w:t xml:space="preserve">Wie problematisch </w:t>
      </w:r>
      <w:r w:rsidR="00B7441B">
        <w:t xml:space="preserve">sich </w:t>
      </w:r>
      <w:r>
        <w:t xml:space="preserve">die Situation </w:t>
      </w:r>
      <w:r w:rsidR="003B3D27">
        <w:t xml:space="preserve">schon in einer vergleichsweise frühen Phase der Verhandlungen </w:t>
      </w:r>
      <w:r w:rsidR="00964C64">
        <w:t>gestaltet</w:t>
      </w:r>
      <w:r>
        <w:t>, wird an einem Bericht erkennbar, den Herbert Wehner</w:t>
      </w:r>
      <w:r w:rsidR="00964C64">
        <w:t xml:space="preserve"> in seiner Funktion als </w:t>
      </w:r>
      <w:r w:rsidR="003E0077">
        <w:t xml:space="preserve">Pariser </w:t>
      </w:r>
      <w:r w:rsidR="00964C64">
        <w:t xml:space="preserve">Vertreter der KPD </w:t>
      </w:r>
      <w:r w:rsidR="003B3D27">
        <w:t xml:space="preserve">1936 </w:t>
      </w:r>
      <w:r>
        <w:t xml:space="preserve">an Wilhelm Pieck in Moskau schickt. </w:t>
      </w:r>
      <w:r w:rsidR="00A54467">
        <w:t>Au</w:t>
      </w:r>
      <w:r w:rsidR="00A54467">
        <w:t>f</w:t>
      </w:r>
      <w:r w:rsidR="00A54467">
        <w:t xml:space="preserve">schlussreich ist, dass </w:t>
      </w:r>
      <w:r w:rsidR="009F6909">
        <w:t xml:space="preserve">Wehner </w:t>
      </w:r>
      <w:r w:rsidR="00A54467">
        <w:t xml:space="preserve">darin </w:t>
      </w:r>
      <w:r w:rsidR="003B3D27">
        <w:t xml:space="preserve">gleich </w:t>
      </w:r>
      <w:r w:rsidR="00C26B35">
        <w:t>zu</w:t>
      </w:r>
      <w:r w:rsidR="003B3D27">
        <w:t xml:space="preserve"> Anfang</w:t>
      </w:r>
      <w:r w:rsidR="00A54467">
        <w:t xml:space="preserve"> auf</w:t>
      </w:r>
      <w:r w:rsidR="009F6909">
        <w:t xml:space="preserve"> die </w:t>
      </w:r>
      <w:r>
        <w:t>Einfl</w:t>
      </w:r>
      <w:r w:rsidR="004A45D9">
        <w:t>ü</w:t>
      </w:r>
      <w:r>
        <w:t>ss</w:t>
      </w:r>
      <w:r w:rsidR="004A45D9">
        <w:t>e</w:t>
      </w:r>
      <w:r>
        <w:t xml:space="preserve"> ein</w:t>
      </w:r>
      <w:r w:rsidR="00A54467">
        <w:t>geht</w:t>
      </w:r>
      <w:r>
        <w:t>, d</w:t>
      </w:r>
      <w:r w:rsidR="004A45D9">
        <w:t>i</w:t>
      </w:r>
      <w:r>
        <w:t xml:space="preserve">e der erste Moskauer </w:t>
      </w:r>
      <w:r w:rsidR="00DD745C">
        <w:t>Schaupro</w:t>
      </w:r>
      <w:r>
        <w:t xml:space="preserve">zess </w:t>
      </w:r>
      <w:r w:rsidR="004A45D9">
        <w:t xml:space="preserve">(19. bis 24. August 1936) </w:t>
      </w:r>
      <w:r>
        <w:t>auf d</w:t>
      </w:r>
      <w:r w:rsidR="004A45D9">
        <w:t>as Klima der</w:t>
      </w:r>
      <w:r>
        <w:t xml:space="preserve"> </w:t>
      </w:r>
      <w:r w:rsidR="00A54467">
        <w:t>„Volksfront“-</w:t>
      </w:r>
      <w:r>
        <w:t>Verhandlungen ausübt</w:t>
      </w:r>
      <w:r w:rsidR="00A54467">
        <w:t>. Wehner weist darauf hin, dass die Krise vor allem von den Intellekt</w:t>
      </w:r>
      <w:r w:rsidR="00A54467">
        <w:t>u</w:t>
      </w:r>
      <w:r w:rsidR="00A54467">
        <w:t>ellen ausgeh</w:t>
      </w:r>
      <w:r w:rsidR="003B3D27">
        <w:t>e</w:t>
      </w:r>
      <w:r w:rsidR="00A54467">
        <w:t xml:space="preserve">, inzwischen </w:t>
      </w:r>
      <w:r w:rsidR="003B3D27">
        <w:t xml:space="preserve">aber </w:t>
      </w:r>
      <w:r w:rsidR="00A54467">
        <w:t xml:space="preserve">auch auf die Parteienvertreter übergegangen </w:t>
      </w:r>
      <w:r w:rsidR="003B3D27">
        <w:t>sei</w:t>
      </w:r>
      <w:r w:rsidR="00A54467">
        <w:t>. Damit ist jedoch die Gesamtheit der „Volksfront“-Arbeit in Frage gestellt</w:t>
      </w:r>
      <w:r>
        <w:t>:</w:t>
      </w:r>
    </w:p>
    <w:p w:rsidR="00A85BBF" w:rsidRDefault="00A85BBF" w:rsidP="00A85BBF">
      <w:pPr>
        <w:spacing w:after="0"/>
        <w:ind w:left="1134"/>
        <w:jc w:val="both"/>
      </w:pPr>
      <w:r>
        <w:t xml:space="preserve">„Die Lage ist augenblicklich ziemlich schwierig. In einer Reihe von Gruppen ist eine organisierte Opposition, hauptsächlich von Intellektuellen ausgehend, </w:t>
      </w:r>
      <w:proofErr w:type="spellStart"/>
      <w:r>
        <w:t>anlä</w:t>
      </w:r>
      <w:r>
        <w:t>ß</w:t>
      </w:r>
      <w:r>
        <w:t>lich</w:t>
      </w:r>
      <w:proofErr w:type="spellEnd"/>
      <w:r>
        <w:t xml:space="preserve"> des Moskauer Prozesses entstanden. […] Die Haltung der einzelnen Sozia</w:t>
      </w:r>
      <w:r>
        <w:t>l</w:t>
      </w:r>
      <w:r>
        <w:t xml:space="preserve">demokraten zum Moskauer </w:t>
      </w:r>
      <w:proofErr w:type="spellStart"/>
      <w:r>
        <w:t>Prozeß</w:t>
      </w:r>
      <w:proofErr w:type="spellEnd"/>
      <w:r>
        <w:t xml:space="preserve"> ist ein gewisser Prüfstein für ihre Ehrlichkeit </w:t>
      </w:r>
      <w:r>
        <w:lastRenderedPageBreak/>
        <w:t xml:space="preserve">in ihrer Zusammenarbeit mit uns. Es ist typisch, dass gerade einige Linke, wie Breitscheid, offen in Artikeln gegen den </w:t>
      </w:r>
      <w:proofErr w:type="spellStart"/>
      <w:r>
        <w:t>Prozeß</w:t>
      </w:r>
      <w:proofErr w:type="spellEnd"/>
      <w:r>
        <w:t xml:space="preserve"> Stellung nehmen.“</w:t>
      </w:r>
      <w:r>
        <w:rPr>
          <w:rStyle w:val="Funotenzeichen"/>
        </w:rPr>
        <w:footnoteReference w:id="12"/>
      </w:r>
      <w:r>
        <w:t xml:space="preserve"> </w:t>
      </w:r>
    </w:p>
    <w:p w:rsidR="00BF5211" w:rsidRDefault="009F42B5" w:rsidP="00BF5211">
      <w:pPr>
        <w:spacing w:after="0"/>
        <w:jc w:val="both"/>
      </w:pPr>
      <w:r>
        <w:t>Di</w:t>
      </w:r>
      <w:r w:rsidR="008841EC">
        <w:t>e Zentralgestalt der antisowjetischen Agitation</w:t>
      </w:r>
      <w:r w:rsidRPr="009F42B5">
        <w:t xml:space="preserve"> </w:t>
      </w:r>
      <w:r>
        <w:t>ist für Wehner</w:t>
      </w:r>
      <w:r w:rsidRPr="009F42B5">
        <w:t xml:space="preserve"> </w:t>
      </w:r>
      <w:r>
        <w:t xml:space="preserve">Leopold </w:t>
      </w:r>
      <w:r w:rsidRPr="00DD745C">
        <w:t>Schwarzschild</w:t>
      </w:r>
      <w:r w:rsidR="00BF5211">
        <w:t>:</w:t>
      </w:r>
      <w:r w:rsidR="003E0077">
        <w:t xml:space="preserve"> </w:t>
      </w:r>
    </w:p>
    <w:p w:rsidR="00DD745C" w:rsidRPr="00742B83" w:rsidRDefault="00DD745C" w:rsidP="00BF5211">
      <w:pPr>
        <w:spacing w:after="0"/>
        <w:ind w:left="1134"/>
        <w:jc w:val="both"/>
      </w:pPr>
      <w:r>
        <w:t>„Besonders wüst benimmt sich Schwarzschild, mit dem wir schon seit der Verö</w:t>
      </w:r>
      <w:r>
        <w:t>f</w:t>
      </w:r>
      <w:r>
        <w:t>fentlichung des Ehrengerichts aus Weißgardisten und jüdischen Faschisten [</w:t>
      </w:r>
      <w:r w:rsidR="003E0077">
        <w:t>g</w:t>
      </w:r>
      <w:r w:rsidR="003E0077">
        <w:t>e</w:t>
      </w:r>
      <w:r w:rsidR="003E0077">
        <w:t xml:space="preserve">meint </w:t>
      </w:r>
      <w:r w:rsidR="00C26B35">
        <w:t>sind</w:t>
      </w:r>
      <w:r w:rsidR="003E0077">
        <w:t xml:space="preserve"> </w:t>
      </w:r>
      <w:r w:rsidR="00F339F2">
        <w:t>d</w:t>
      </w:r>
      <w:r w:rsidR="00C26B35">
        <w:t>ie</w:t>
      </w:r>
      <w:r w:rsidR="00F339F2">
        <w:t xml:space="preserve"> Untersuchungsaussch</w:t>
      </w:r>
      <w:r w:rsidR="00C26B35">
        <w:t>ü</w:t>
      </w:r>
      <w:r w:rsidR="00F339F2">
        <w:t>ss</w:t>
      </w:r>
      <w:r w:rsidR="00C26B35">
        <w:t>e</w:t>
      </w:r>
      <w:r w:rsidR="00F339F2">
        <w:t xml:space="preserve"> zur</w:t>
      </w:r>
      <w:r w:rsidR="00BF5211">
        <w:t xml:space="preserve"> </w:t>
      </w:r>
      <w:r w:rsidR="003E0077">
        <w:rPr>
          <w:i/>
        </w:rPr>
        <w:t>Pariser Tageblatt</w:t>
      </w:r>
      <w:r w:rsidR="00F339F2">
        <w:rPr>
          <w:i/>
        </w:rPr>
        <w:t>-</w:t>
      </w:r>
      <w:r w:rsidR="00F339F2">
        <w:t>Affäre</w:t>
      </w:r>
      <w:r>
        <w:t>] keine B</w:t>
      </w:r>
      <w:r>
        <w:t>e</w:t>
      </w:r>
      <w:r>
        <w:t>ziehungen mehr haben. Seine Aufsätze in ‚Neues Tagebuch‘ sind eine Konzentr</w:t>
      </w:r>
      <w:r>
        <w:t>a</w:t>
      </w:r>
      <w:r>
        <w:t>tion aller Angriffe und Gemeinheiten, die denkbar sind.“</w:t>
      </w:r>
      <w:r>
        <w:rPr>
          <w:rStyle w:val="Funotenzeichen"/>
        </w:rPr>
        <w:footnoteReference w:id="13"/>
      </w:r>
    </w:p>
    <w:p w:rsidR="00965206" w:rsidRDefault="00BF5211" w:rsidP="000C3D45">
      <w:pPr>
        <w:spacing w:after="0"/>
        <w:jc w:val="both"/>
      </w:pPr>
      <w:r>
        <w:t xml:space="preserve">Es ist angesichts der Vehemenz dieser verunglimpfenden Attacken nur zu verständlich, dass Schwarzschild sich </w:t>
      </w:r>
      <w:r w:rsidR="00D41439">
        <w:t xml:space="preserve">Ende 1936 </w:t>
      </w:r>
      <w:r w:rsidR="004A45D9">
        <w:t xml:space="preserve">aus den </w:t>
      </w:r>
      <w:r w:rsidR="00AF0659">
        <w:t>„Volksfront“-</w:t>
      </w:r>
      <w:r w:rsidR="004A45D9">
        <w:t>Verhandlungen zurück</w:t>
      </w:r>
      <w:r>
        <w:t>zieht</w:t>
      </w:r>
      <w:r w:rsidR="004A45D9">
        <w:t>.</w:t>
      </w:r>
      <w:r w:rsidR="004A45D9">
        <w:rPr>
          <w:rStyle w:val="Funotenzeichen"/>
        </w:rPr>
        <w:footnoteReference w:id="14"/>
      </w:r>
      <w:r w:rsidR="00E76C88">
        <w:t xml:space="preserve"> </w:t>
      </w:r>
    </w:p>
    <w:p w:rsidR="00BF5211" w:rsidRDefault="00BF5211" w:rsidP="000C3D45">
      <w:pPr>
        <w:spacing w:after="0"/>
        <w:jc w:val="both"/>
      </w:pPr>
    </w:p>
    <w:p w:rsidR="003E27CA" w:rsidRDefault="00D65FD2" w:rsidP="000C3D45">
      <w:pPr>
        <w:spacing w:after="0"/>
        <w:jc w:val="both"/>
      </w:pPr>
      <w:r>
        <w:tab/>
      </w:r>
      <w:r w:rsidR="00965206">
        <w:t xml:space="preserve">Die Moskauer Prozesse lösen </w:t>
      </w:r>
      <w:r>
        <w:t xml:space="preserve">jedoch nicht nur </w:t>
      </w:r>
      <w:r w:rsidR="00BF5211">
        <w:t>im Kreis der deutschen Intellektuellen</w:t>
      </w:r>
      <w:r>
        <w:t xml:space="preserve"> grundlegende Zweifel an der Glaubwürdigkeit der Sowjetunion aus, sondern </w:t>
      </w:r>
      <w:r w:rsidR="006C5E4A">
        <w:t xml:space="preserve">vor allem </w:t>
      </w:r>
      <w:r w:rsidR="00A504A9">
        <w:t>auch</w:t>
      </w:r>
      <w:r>
        <w:t xml:space="preserve"> unter den </w:t>
      </w:r>
      <w:r w:rsidR="00D35B84" w:rsidRPr="006C5E4A">
        <w:rPr>
          <w:i/>
        </w:rPr>
        <w:t>französischen</w:t>
      </w:r>
      <w:r w:rsidR="00D35B84">
        <w:t xml:space="preserve"> </w:t>
      </w:r>
      <w:r>
        <w:t xml:space="preserve">Intellektuellen. </w:t>
      </w:r>
      <w:r w:rsidR="00A504A9">
        <w:t>Es ist angesichts dieser Entwicklung nur zu verstän</w:t>
      </w:r>
      <w:r w:rsidR="00A504A9">
        <w:t>d</w:t>
      </w:r>
      <w:r w:rsidR="00A504A9">
        <w:t xml:space="preserve">lich, dass der Komintern-Emissär </w:t>
      </w:r>
      <w:proofErr w:type="spellStart"/>
      <w:r w:rsidR="00A504A9">
        <w:t>Bohumir</w:t>
      </w:r>
      <w:proofErr w:type="spellEnd"/>
      <w:r w:rsidR="00A504A9">
        <w:t xml:space="preserve"> </w:t>
      </w:r>
      <w:proofErr w:type="spellStart"/>
      <w:r w:rsidR="00A504A9">
        <w:t>Šmeral</w:t>
      </w:r>
      <w:proofErr w:type="spellEnd"/>
      <w:r w:rsidR="00A504A9">
        <w:t xml:space="preserve"> in </w:t>
      </w:r>
      <w:r w:rsidR="006C5E4A">
        <w:t>d</w:t>
      </w:r>
      <w:r w:rsidR="00A504A9">
        <w:t>em Bericht,</w:t>
      </w:r>
      <w:r w:rsidR="00A504A9">
        <w:rPr>
          <w:rStyle w:val="Funotenzeichen"/>
        </w:rPr>
        <w:footnoteReference w:id="15"/>
      </w:r>
      <w:r w:rsidR="00A504A9">
        <w:t xml:space="preserve"> den im Januar 1938 über seine Arbeit in Paris (Dezember 1936 – 2. November 1937) verfasst, an erster Stelle über die Haltung </w:t>
      </w:r>
      <w:r w:rsidR="00A504A9" w:rsidRPr="006C5E4A">
        <w:t>der französischen</w:t>
      </w:r>
      <w:r w:rsidR="00A504A9">
        <w:t xml:space="preserve"> Intellektuellen spricht. Er registriert hier </w:t>
      </w:r>
      <w:r w:rsidR="006C5E4A">
        <w:t xml:space="preserve">starke </w:t>
      </w:r>
      <w:r w:rsidR="00A504A9">
        <w:t>„trotzkistische“ Einflüsse</w:t>
      </w:r>
      <w:r w:rsidR="003A0CC8">
        <w:t xml:space="preserve"> und deutet an, dass möglicherweise ein Gegenprozess zustande kommt</w:t>
      </w:r>
      <w:r w:rsidR="00A504A9">
        <w:t>:</w:t>
      </w:r>
      <w:r w:rsidR="000F188B">
        <w:t xml:space="preserve"> </w:t>
      </w:r>
    </w:p>
    <w:p w:rsidR="003F4A82" w:rsidRDefault="000F188B" w:rsidP="003F4A82">
      <w:pPr>
        <w:spacing w:after="0"/>
        <w:ind w:left="1134"/>
        <w:jc w:val="both"/>
      </w:pPr>
      <w:r>
        <w:t xml:space="preserve">„In den ersten Monaten nach meiner Ankunft [im Dezember 1936] war </w:t>
      </w:r>
      <w:r w:rsidR="00D65FD2" w:rsidRPr="008D655D">
        <w:t xml:space="preserve">die uns nahestehende Gruppe der französischen Intellektuellen </w:t>
      </w:r>
      <w:r>
        <w:t>e</w:t>
      </w:r>
      <w:r w:rsidR="00D65FD2" w:rsidRPr="008D655D">
        <w:t>inem scharfen Drucke der trotzkistischen Beeinflussung ausgesetzt</w:t>
      </w:r>
      <w:r w:rsidR="003F4A82">
        <w:t xml:space="preserve">. Auf </w:t>
      </w:r>
      <w:r w:rsidR="00A504A9">
        <w:t xml:space="preserve">[den Physiker] </w:t>
      </w:r>
      <w:r w:rsidR="003F4A82">
        <w:t xml:space="preserve">Professor </w:t>
      </w:r>
      <w:r w:rsidR="00A504A9">
        <w:t xml:space="preserve">[Paul] </w:t>
      </w:r>
      <w:proofErr w:type="spellStart"/>
      <w:r w:rsidR="003F4A82">
        <w:t>Langevin</w:t>
      </w:r>
      <w:proofErr w:type="spellEnd"/>
      <w:r w:rsidR="003F4A82">
        <w:t xml:space="preserve"> übt sein Freund, der Vorsitzende der französischen Liga für Mensche</w:t>
      </w:r>
      <w:r w:rsidR="003F4A82">
        <w:t>n</w:t>
      </w:r>
      <w:r w:rsidR="003F4A82">
        <w:t xml:space="preserve">rechte, Professor [Victor] </w:t>
      </w:r>
      <w:proofErr w:type="spellStart"/>
      <w:r w:rsidR="003F4A82">
        <w:t>Basch</w:t>
      </w:r>
      <w:proofErr w:type="spellEnd"/>
      <w:r w:rsidR="003F4A82">
        <w:t xml:space="preserve">, einen großen persönlichen </w:t>
      </w:r>
      <w:proofErr w:type="spellStart"/>
      <w:r w:rsidR="003F4A82">
        <w:t>Einfluß</w:t>
      </w:r>
      <w:proofErr w:type="spellEnd"/>
      <w:r w:rsidR="003F4A82">
        <w:t xml:space="preserve"> aus. […]</w:t>
      </w:r>
      <w:r w:rsidR="00D65FD2" w:rsidRPr="008D655D">
        <w:t xml:space="preserve"> </w:t>
      </w:r>
      <w:r w:rsidR="003F4A82">
        <w:t>Pr</w:t>
      </w:r>
      <w:r w:rsidR="003F4A82">
        <w:t>o</w:t>
      </w:r>
      <w:r w:rsidR="003F4A82">
        <w:t xml:space="preserve">fessor </w:t>
      </w:r>
      <w:proofErr w:type="spellStart"/>
      <w:r w:rsidR="003F4A82">
        <w:t>Basch</w:t>
      </w:r>
      <w:proofErr w:type="spellEnd"/>
      <w:r w:rsidR="003F4A82">
        <w:t xml:space="preserve"> hat in den ersten Tagen des </w:t>
      </w:r>
      <w:proofErr w:type="spellStart"/>
      <w:r w:rsidR="003F4A82">
        <w:t>Pjatakow-Prozeßes</w:t>
      </w:r>
      <w:proofErr w:type="spellEnd"/>
      <w:r w:rsidR="003F4A82">
        <w:t xml:space="preserve"> eine Erklärung gegen die Sowjetjustiz unterschrieben und im ‚Oeuvre‘ veröffentlicht. </w:t>
      </w:r>
      <w:proofErr w:type="spellStart"/>
      <w:r w:rsidR="003F4A82">
        <w:t>Sedow</w:t>
      </w:r>
      <w:proofErr w:type="spellEnd"/>
      <w:r w:rsidR="003F4A82">
        <w:t xml:space="preserve"> [der älteste Sohn von Trotzki] hat sich mit ihm in Verbindung gesetzt. In der Liga für Menschrechte wurde unter dem </w:t>
      </w:r>
      <w:proofErr w:type="spellStart"/>
      <w:r w:rsidR="003F4A82">
        <w:t>Einflusse</w:t>
      </w:r>
      <w:proofErr w:type="spellEnd"/>
      <w:r w:rsidR="003F4A82">
        <w:t xml:space="preserve"> der Trotzkistenelemente ein ‚</w:t>
      </w:r>
      <w:proofErr w:type="spellStart"/>
      <w:r w:rsidR="003F4A82">
        <w:t>Gegenpr</w:t>
      </w:r>
      <w:r w:rsidR="003F4A82">
        <w:t>o</w:t>
      </w:r>
      <w:r w:rsidR="003F4A82">
        <w:t>zeß</w:t>
      </w:r>
      <w:proofErr w:type="spellEnd"/>
      <w:r w:rsidR="003F4A82">
        <w:t>‘ vorbereitet.“</w:t>
      </w:r>
      <w:r w:rsidR="003F4A82">
        <w:rPr>
          <w:rStyle w:val="Funotenzeichen"/>
        </w:rPr>
        <w:footnoteReference w:id="16"/>
      </w:r>
    </w:p>
    <w:p w:rsidR="003F4A82" w:rsidRDefault="003F4A82" w:rsidP="00D65FD2">
      <w:pPr>
        <w:spacing w:after="0"/>
        <w:jc w:val="both"/>
      </w:pPr>
      <w:proofErr w:type="spellStart"/>
      <w:r>
        <w:t>Šmeral</w:t>
      </w:r>
      <w:proofErr w:type="spellEnd"/>
      <w:r>
        <w:t xml:space="preserve"> weist darauf hin, dass der Einfluss der „Trotzkisten“ </w:t>
      </w:r>
      <w:r w:rsidR="00430810">
        <w:t xml:space="preserve">sich </w:t>
      </w:r>
      <w:r>
        <w:t xml:space="preserve">auch </w:t>
      </w:r>
      <w:r w:rsidR="003A0CC8">
        <w:t xml:space="preserve">zunehmend auf </w:t>
      </w:r>
      <w:r>
        <w:t>prom</w:t>
      </w:r>
      <w:r>
        <w:t>i</w:t>
      </w:r>
      <w:r>
        <w:t>nente SPD</w:t>
      </w:r>
      <w:r w:rsidR="00C26B35">
        <w:t>-Mitglieder</w:t>
      </w:r>
      <w:r>
        <w:t xml:space="preserve"> </w:t>
      </w:r>
      <w:r w:rsidR="003A0CC8">
        <w:t>und ihr Verhalten in den „Volksfront“-Organen auswirk</w:t>
      </w:r>
      <w:r w:rsidR="00080FAA">
        <w:t>e</w:t>
      </w:r>
      <w:r w:rsidR="00004B45">
        <w:t>.</w:t>
      </w:r>
      <w:r w:rsidR="00A504A9">
        <w:t xml:space="preserve"> Sie verhie</w:t>
      </w:r>
      <w:r w:rsidR="00A504A9">
        <w:t>l</w:t>
      </w:r>
      <w:r w:rsidR="00A504A9">
        <w:t>ten sich nicht länger kooperativ, sondern begännen</w:t>
      </w:r>
      <w:r w:rsidR="00080FAA">
        <w:t>,</w:t>
      </w:r>
      <w:r w:rsidR="00004B45">
        <w:t xml:space="preserve"> </w:t>
      </w:r>
      <w:r w:rsidR="00A504A9">
        <w:t>i</w:t>
      </w:r>
      <w:r w:rsidR="00430810">
        <w:t>n Institutionen</w:t>
      </w:r>
      <w:r w:rsidR="00A504A9">
        <w:t xml:space="preserve"> mit</w:t>
      </w:r>
      <w:r w:rsidR="00430810">
        <w:t xml:space="preserve"> </w:t>
      </w:r>
      <w:r w:rsidR="003A0CC8">
        <w:t xml:space="preserve">nach außen hin </w:t>
      </w:r>
      <w:r w:rsidR="006C7652">
        <w:t>„übe</w:t>
      </w:r>
      <w:r w:rsidR="006C7652">
        <w:t>r</w:t>
      </w:r>
      <w:r w:rsidR="006C7652">
        <w:t>parteiliche</w:t>
      </w:r>
      <w:r w:rsidR="00080FAA">
        <w:t>m</w:t>
      </w:r>
      <w:r w:rsidR="006C7652">
        <w:t>“ Charakter</w:t>
      </w:r>
      <w:r w:rsidR="00080FAA">
        <w:t xml:space="preserve"> – die </w:t>
      </w:r>
      <w:r w:rsidR="00C26B35">
        <w:t>jedoch</w:t>
      </w:r>
      <w:r w:rsidR="00430810">
        <w:t xml:space="preserve"> von der KPD finanziert </w:t>
      </w:r>
      <w:r w:rsidR="00080FAA">
        <w:t xml:space="preserve">und kontrolliert </w:t>
      </w:r>
      <w:r w:rsidR="00C26B35">
        <w:t>werden</w:t>
      </w:r>
      <w:r w:rsidR="00080FAA">
        <w:t xml:space="preserve"> – </w:t>
      </w:r>
      <w:r w:rsidR="00430810">
        <w:t xml:space="preserve">Veto-Recht auszuüben. </w:t>
      </w:r>
      <w:r w:rsidR="00080FAA">
        <w:t xml:space="preserve">Für </w:t>
      </w:r>
      <w:proofErr w:type="spellStart"/>
      <w:r w:rsidR="00080FAA">
        <w:t>Šmeral</w:t>
      </w:r>
      <w:proofErr w:type="spellEnd"/>
      <w:r w:rsidR="00080FAA">
        <w:t xml:space="preserve"> ist s</w:t>
      </w:r>
      <w:r w:rsidR="00430810">
        <w:t>ymptomatisch</w:t>
      </w:r>
      <w:r w:rsidR="00080FAA">
        <w:t>,</w:t>
      </w:r>
      <w:r w:rsidR="00430810">
        <w:t xml:space="preserve"> </w:t>
      </w:r>
      <w:r w:rsidR="00080FAA">
        <w:t>das</w:t>
      </w:r>
      <w:r w:rsidR="00430810">
        <w:t xml:space="preserve">s </w:t>
      </w:r>
      <w:r w:rsidR="00004B45">
        <w:t>Rudolf Breitscheid</w:t>
      </w:r>
      <w:r w:rsidR="00BB0802">
        <w:rPr>
          <w:rStyle w:val="Funotenzeichen"/>
        </w:rPr>
        <w:footnoteReference w:id="17"/>
      </w:r>
      <w:r w:rsidR="00004B45">
        <w:t xml:space="preserve"> </w:t>
      </w:r>
      <w:r w:rsidR="00430810">
        <w:t xml:space="preserve">sich </w:t>
      </w:r>
      <w:r w:rsidR="00080FAA">
        <w:t>z.B. ge</w:t>
      </w:r>
      <w:r w:rsidR="00004B45">
        <w:t>we</w:t>
      </w:r>
      <w:r w:rsidR="00004B45">
        <w:t>i</w:t>
      </w:r>
      <w:r w:rsidR="00004B45">
        <w:t>gert</w:t>
      </w:r>
      <w:r w:rsidR="00080FAA">
        <w:t xml:space="preserve"> habe</w:t>
      </w:r>
      <w:r w:rsidR="00004B45">
        <w:t>, in</w:t>
      </w:r>
      <w:r w:rsidR="00430810">
        <w:t xml:space="preserve"> </w:t>
      </w:r>
      <w:r w:rsidR="00004B45">
        <w:t xml:space="preserve">den </w:t>
      </w:r>
      <w:r w:rsidR="00004B45">
        <w:rPr>
          <w:i/>
        </w:rPr>
        <w:t>Deutschen Informationen</w:t>
      </w:r>
      <w:r w:rsidR="009B3FA6">
        <w:t xml:space="preserve"> </w:t>
      </w:r>
      <w:r w:rsidR="00004B45">
        <w:t xml:space="preserve">die Moskauer Lesart vom Verlauf der </w:t>
      </w:r>
      <w:r w:rsidR="00004B45" w:rsidRPr="003A0CC8">
        <w:t>Prozesse</w:t>
      </w:r>
      <w:r w:rsidR="00004B45">
        <w:t xml:space="preserve"> zu veröffentlichen</w:t>
      </w:r>
      <w:r w:rsidR="009B3FA6">
        <w:t xml:space="preserve">. </w:t>
      </w:r>
      <w:r w:rsidR="00080FAA">
        <w:t xml:space="preserve">Bereits vorsichtige </w:t>
      </w:r>
      <w:r w:rsidR="003A0CC8">
        <w:t xml:space="preserve">kommunistische </w:t>
      </w:r>
      <w:r w:rsidR="00080FAA">
        <w:t>Äußerung</w:t>
      </w:r>
      <w:r w:rsidR="003A0CC8">
        <w:t>en</w:t>
      </w:r>
      <w:r w:rsidR="00080FAA">
        <w:t xml:space="preserve"> </w:t>
      </w:r>
      <w:r w:rsidR="00080FAA">
        <w:rPr>
          <w:i/>
        </w:rPr>
        <w:t xml:space="preserve">zugunsten </w:t>
      </w:r>
      <w:r w:rsidR="00080FAA" w:rsidRPr="003A0CC8">
        <w:rPr>
          <w:i/>
        </w:rPr>
        <w:t>der</w:t>
      </w:r>
      <w:r w:rsidR="00080FAA">
        <w:t xml:space="preserve"> </w:t>
      </w:r>
      <w:r w:rsidR="00080FAA" w:rsidRPr="003A0CC8">
        <w:rPr>
          <w:i/>
        </w:rPr>
        <w:t xml:space="preserve">Prozesse </w:t>
      </w:r>
      <w:r w:rsidR="00080FAA">
        <w:t>stell</w:t>
      </w:r>
      <w:r w:rsidR="003A0CC8">
        <w:t>t</w:t>
      </w:r>
      <w:r w:rsidR="00080FAA">
        <w:t>e</w:t>
      </w:r>
      <w:r w:rsidR="003A0CC8">
        <w:t>n</w:t>
      </w:r>
      <w:r w:rsidR="00080FAA">
        <w:t xml:space="preserve"> bei den Sozialdemokraten die gesamte Zusammenarbeit mit Kommunisten in Frage</w:t>
      </w:r>
      <w:r>
        <w:t>:</w:t>
      </w:r>
    </w:p>
    <w:p w:rsidR="003F4A82" w:rsidRDefault="00A821CB" w:rsidP="00A821CB">
      <w:pPr>
        <w:spacing w:after="0"/>
        <w:ind w:left="1134"/>
        <w:jc w:val="both"/>
      </w:pPr>
      <w:r>
        <w:lastRenderedPageBreak/>
        <w:t xml:space="preserve">„Wegen </w:t>
      </w:r>
      <w:proofErr w:type="gramStart"/>
      <w:r>
        <w:t>meines ganz vorsichtigen Artikel[s</w:t>
      </w:r>
      <w:proofErr w:type="gramEnd"/>
      <w:r>
        <w:t xml:space="preserve">] in ‚Humanité‘ über den </w:t>
      </w:r>
      <w:proofErr w:type="spellStart"/>
      <w:r>
        <w:t>Prozeß</w:t>
      </w:r>
      <w:proofErr w:type="spellEnd"/>
      <w:r>
        <w:t xml:space="preserve"> hat Breitscheid direkt die Frage seiner weiteren Zusammenarbeit im W.K. [Weltkom</w:t>
      </w:r>
      <w:r>
        <w:t>i</w:t>
      </w:r>
      <w:r>
        <w:t>tee gegen Krieg und Faschismus] gestellt. Es gelang mir nicht in den ‚Deutschen Informationen‘, die wir materiell sicherstellen und wo Breitscheid mitentscheidet, die Veröffentlichungen der informativen Telegramme über den Verlauf des Pr</w:t>
      </w:r>
      <w:r>
        <w:t>o</w:t>
      </w:r>
      <w:r>
        <w:t>zesses durchzusetzen.“</w:t>
      </w:r>
      <w:r>
        <w:rPr>
          <w:rStyle w:val="Funotenzeichen"/>
        </w:rPr>
        <w:footnoteReference w:id="18"/>
      </w:r>
    </w:p>
    <w:p w:rsidR="009B3FA6" w:rsidRPr="009B3FA6" w:rsidRDefault="009B3FA6" w:rsidP="009B3FA6">
      <w:pPr>
        <w:spacing w:after="0"/>
        <w:jc w:val="both"/>
      </w:pPr>
      <w:r>
        <w:t xml:space="preserve">In ähnlicher Form </w:t>
      </w:r>
      <w:r w:rsidR="00080FAA">
        <w:t>verhalten</w:t>
      </w:r>
      <w:r>
        <w:t xml:space="preserve"> sich </w:t>
      </w:r>
      <w:r w:rsidR="00080FAA">
        <w:t xml:space="preserve">– so </w:t>
      </w:r>
      <w:proofErr w:type="spellStart"/>
      <w:r>
        <w:t>Šmeral</w:t>
      </w:r>
      <w:proofErr w:type="spellEnd"/>
      <w:r>
        <w:t xml:space="preserve"> </w:t>
      </w:r>
      <w:r w:rsidR="00080FAA">
        <w:t>– a</w:t>
      </w:r>
      <w:r>
        <w:t xml:space="preserve">uch die </w:t>
      </w:r>
      <w:r w:rsidR="003A0CC8">
        <w:t>ander</w:t>
      </w:r>
      <w:r w:rsidR="00080FAA">
        <w:t xml:space="preserve">en </w:t>
      </w:r>
      <w:r>
        <w:t>sozialdemokratischen Mita</w:t>
      </w:r>
      <w:r>
        <w:t>r</w:t>
      </w:r>
      <w:r>
        <w:t xml:space="preserve">beiter der </w:t>
      </w:r>
      <w:r w:rsidRPr="008D655D">
        <w:rPr>
          <w:i/>
        </w:rPr>
        <w:t>Deutsche</w:t>
      </w:r>
      <w:r>
        <w:rPr>
          <w:i/>
        </w:rPr>
        <w:t>n</w:t>
      </w:r>
      <w:r w:rsidRPr="008D655D">
        <w:rPr>
          <w:i/>
        </w:rPr>
        <w:t xml:space="preserve"> Informationen</w:t>
      </w:r>
      <w:r>
        <w:t>:</w:t>
      </w:r>
    </w:p>
    <w:p w:rsidR="009B3FA6" w:rsidRPr="008D655D" w:rsidRDefault="009B3FA6" w:rsidP="009B3FA6">
      <w:pPr>
        <w:spacing w:after="0"/>
        <w:ind w:left="1134"/>
        <w:jc w:val="both"/>
      </w:pPr>
      <w:r w:rsidRPr="008D655D">
        <w:t>„Die bezahlten sozialdemokratischen Mitarbeiter sind wenig produktiv, sie mü</w:t>
      </w:r>
      <w:r w:rsidRPr="008D655D">
        <w:t>s</w:t>
      </w:r>
      <w:r w:rsidRPr="008D655D">
        <w:t xml:space="preserve">sen aber gehalten und bezahlt werden wegen des überparteilichen </w:t>
      </w:r>
      <w:r w:rsidR="00474C0F">
        <w:t xml:space="preserve">[sic!] </w:t>
      </w:r>
      <w:r w:rsidRPr="008D655D">
        <w:t>Chara</w:t>
      </w:r>
      <w:r w:rsidRPr="008D655D">
        <w:t>k</w:t>
      </w:r>
      <w:r w:rsidRPr="008D655D">
        <w:t xml:space="preserve">ters der Korrespondenz. Sie haben nicht zugelassen, </w:t>
      </w:r>
      <w:proofErr w:type="spellStart"/>
      <w:r w:rsidRPr="008D655D">
        <w:t>daß</w:t>
      </w:r>
      <w:proofErr w:type="spellEnd"/>
      <w:r w:rsidRPr="008D655D">
        <w:t xml:space="preserve"> die Nachrichten [</w:t>
      </w:r>
      <w:r w:rsidR="00080FAA">
        <w:t xml:space="preserve">gemeint sind </w:t>
      </w:r>
      <w:r w:rsidRPr="008D655D">
        <w:t xml:space="preserve">die </w:t>
      </w:r>
      <w:r w:rsidRPr="008D655D">
        <w:rPr>
          <w:i/>
        </w:rPr>
        <w:t>Deutschen Informationen</w:t>
      </w:r>
      <w:r w:rsidRPr="008D655D">
        <w:t xml:space="preserve">] telegraphische Informationen über den </w:t>
      </w:r>
      <w:proofErr w:type="spellStart"/>
      <w:r w:rsidRPr="008D655D">
        <w:t>Pjat</w:t>
      </w:r>
      <w:r w:rsidRPr="008D655D">
        <w:t>a</w:t>
      </w:r>
      <w:r w:rsidRPr="008D655D">
        <w:t>kow-Prozeß</w:t>
      </w:r>
      <w:proofErr w:type="spellEnd"/>
      <w:r w:rsidRPr="008D655D">
        <w:t xml:space="preserve"> oder gegen den Trotzkismus bringen. Auch die Tatsachen, die prop</w:t>
      </w:r>
      <w:r w:rsidRPr="008D655D">
        <w:t>a</w:t>
      </w:r>
      <w:r w:rsidRPr="008D655D">
        <w:t>gandistische Bedeutung für die Sowjetunionhaben, werden nicht gegeben.“</w:t>
      </w:r>
      <w:r>
        <w:rPr>
          <w:rStyle w:val="Funotenzeichen"/>
        </w:rPr>
        <w:footnoteReference w:id="19"/>
      </w:r>
      <w:r w:rsidRPr="008D655D">
        <w:t xml:space="preserve"> </w:t>
      </w:r>
    </w:p>
    <w:p w:rsidR="00A821CB" w:rsidRDefault="00080FAA" w:rsidP="00D65FD2">
      <w:pPr>
        <w:spacing w:after="0"/>
        <w:jc w:val="both"/>
      </w:pPr>
      <w:r>
        <w:t>D</w:t>
      </w:r>
      <w:r w:rsidR="00BF756D">
        <w:t>ie Moskauer Prozesse spalte</w:t>
      </w:r>
      <w:r>
        <w:t>n</w:t>
      </w:r>
      <w:r w:rsidR="00BF756D">
        <w:t xml:space="preserve"> und polarisie</w:t>
      </w:r>
      <w:r>
        <w:t>ren das Exil</w:t>
      </w:r>
      <w:r w:rsidR="00BF756D">
        <w:t>.</w:t>
      </w:r>
      <w:r w:rsidR="009B3FA6">
        <w:t xml:space="preserve"> </w:t>
      </w:r>
      <w:r w:rsidR="002B2F20">
        <w:t>Alle</w:t>
      </w:r>
      <w:r w:rsidR="009B3FA6">
        <w:t>, die die Moskauer Lesart der Prozesse nicht akzeptieren, sind für die KP „Trotzkisten“ oder „Faschisten“.</w:t>
      </w:r>
      <w:r w:rsidR="00CC5E75">
        <w:rPr>
          <w:rStyle w:val="Funotenzeichen"/>
        </w:rPr>
        <w:footnoteReference w:id="20"/>
      </w:r>
    </w:p>
    <w:p w:rsidR="002B2F20" w:rsidRDefault="002B2F20" w:rsidP="00D65FD2">
      <w:pPr>
        <w:spacing w:after="0"/>
        <w:jc w:val="both"/>
      </w:pPr>
    </w:p>
    <w:p w:rsidR="00E5280B" w:rsidRDefault="00004B45" w:rsidP="00E5280B">
      <w:pPr>
        <w:spacing w:after="0"/>
        <w:ind w:firstLine="708"/>
        <w:jc w:val="both"/>
      </w:pPr>
      <w:r>
        <w:t xml:space="preserve">Für den Verlust an Glaubwürdigkeit sind </w:t>
      </w:r>
      <w:r w:rsidR="003A0CC8">
        <w:t xml:space="preserve">aber </w:t>
      </w:r>
      <w:r>
        <w:t>auch innerparteiliche Vorgänge, vor a</w:t>
      </w:r>
      <w:r>
        <w:t>l</w:t>
      </w:r>
      <w:r>
        <w:t>lem die Ablösung Willi Münzenbergs</w:t>
      </w:r>
      <w:r w:rsidR="002B2F20">
        <w:t xml:space="preserve"> in seiner Eigenschaft als Organisator der „Volksfront“-Verhandlungen</w:t>
      </w:r>
      <w:r>
        <w:t>, verantwortlich</w:t>
      </w:r>
      <w:r w:rsidR="009B3FA6">
        <w:t>.</w:t>
      </w:r>
      <w:r w:rsidR="005E43CF">
        <w:rPr>
          <w:rStyle w:val="Funotenzeichen"/>
        </w:rPr>
        <w:footnoteReference w:id="21"/>
      </w:r>
      <w:r w:rsidR="00E5280B">
        <w:t xml:space="preserve"> </w:t>
      </w:r>
      <w:r w:rsidR="003A59C1">
        <w:t xml:space="preserve">Münzenberg, </w:t>
      </w:r>
      <w:r w:rsidR="004545C5">
        <w:t xml:space="preserve">ein Vertrauter </w:t>
      </w:r>
      <w:r w:rsidR="003A59C1">
        <w:t>Lenin</w:t>
      </w:r>
      <w:r w:rsidR="004545C5">
        <w:t>s</w:t>
      </w:r>
      <w:r w:rsidR="003A59C1">
        <w:t xml:space="preserve"> </w:t>
      </w:r>
      <w:r w:rsidR="004545C5">
        <w:t>aufgrund der frühen Kontakte in der Zeit von Lenins Schweizer Exil</w:t>
      </w:r>
      <w:r w:rsidR="003A59C1">
        <w:t>, Schöpfer der Internationalen Arbeiter-Hilfe, in der Weimarer Republik die nahezu legendäre Zentralgestalt eines kommunistischen Pre</w:t>
      </w:r>
      <w:r w:rsidR="003A59C1">
        <w:t>s</w:t>
      </w:r>
      <w:r w:rsidR="003A59C1">
        <w:t xml:space="preserve">seimperiums, im Pariser Exil der Initiator der ebenso legendären „Braunbücher“ und Leiter der </w:t>
      </w:r>
      <w:proofErr w:type="spellStart"/>
      <w:r w:rsidR="003A59C1">
        <w:t>Éditions</w:t>
      </w:r>
      <w:proofErr w:type="spellEnd"/>
      <w:r w:rsidR="003A59C1">
        <w:t xml:space="preserve"> du Carrefour, </w:t>
      </w:r>
      <w:r w:rsidR="00F97B7B">
        <w:t>verfügt über enge</w:t>
      </w:r>
      <w:r w:rsidR="007765D6">
        <w:t>, persönliche</w:t>
      </w:r>
      <w:r w:rsidR="00F97B7B">
        <w:t xml:space="preserve"> Kontakte zu Heinrich Mann, dem Vorsitzenden des „Volksfront“-Ausschusses</w:t>
      </w:r>
      <w:r w:rsidR="009F09C7">
        <w:t>,</w:t>
      </w:r>
      <w:r w:rsidR="00F97B7B">
        <w:t xml:space="preserve"> und zu Rudolf Breitschei</w:t>
      </w:r>
      <w:r w:rsidR="00BB0802">
        <w:t>d.</w:t>
      </w:r>
      <w:r w:rsidR="00F97B7B">
        <w:t xml:space="preserve"> I</w:t>
      </w:r>
      <w:r w:rsidR="003A59C1" w:rsidRPr="008D655D">
        <w:t xml:space="preserve">nnerhalb der KPD- und </w:t>
      </w:r>
      <w:proofErr w:type="spellStart"/>
      <w:r w:rsidR="003A59C1" w:rsidRPr="008D655D">
        <w:t>Kominternhierarchie</w:t>
      </w:r>
      <w:proofErr w:type="spellEnd"/>
      <w:r w:rsidR="003A59C1" w:rsidRPr="008D655D">
        <w:t xml:space="preserve"> </w:t>
      </w:r>
      <w:r w:rsidR="00F97B7B">
        <w:t xml:space="preserve">gilt Münzenberg jedoch </w:t>
      </w:r>
      <w:r w:rsidR="003A59C1">
        <w:t xml:space="preserve">spätestens </w:t>
      </w:r>
      <w:r w:rsidR="003A59C1" w:rsidRPr="008D655D">
        <w:t>1936</w:t>
      </w:r>
      <w:r w:rsidR="007765D6">
        <w:t xml:space="preserve"> </w:t>
      </w:r>
      <w:r w:rsidR="003A59C1" w:rsidRPr="008D655D">
        <w:t>als „Trotzkist“</w:t>
      </w:r>
      <w:r w:rsidR="00BE3B13">
        <w:t xml:space="preserve"> und damit potentiell als </w:t>
      </w:r>
      <w:r w:rsidR="00F97B7B">
        <w:t xml:space="preserve">ein </w:t>
      </w:r>
      <w:r w:rsidR="00BE3B13">
        <w:t xml:space="preserve">Beschuldigter in einem </w:t>
      </w:r>
      <w:r w:rsidR="00F97B7B">
        <w:t xml:space="preserve">künftigen </w:t>
      </w:r>
      <w:r w:rsidR="00BE3B13">
        <w:t>Schauprozess</w:t>
      </w:r>
      <w:r w:rsidR="003A59C1">
        <w:t>. Seine innerparteiliche Ste</w:t>
      </w:r>
      <w:r w:rsidR="003A59C1">
        <w:t>l</w:t>
      </w:r>
      <w:r w:rsidR="003A59C1">
        <w:t xml:space="preserve">lung ist </w:t>
      </w:r>
      <w:r w:rsidR="00F97B7B">
        <w:t xml:space="preserve">entsprechend </w:t>
      </w:r>
      <w:r w:rsidR="003A59C1">
        <w:t xml:space="preserve">fragil. </w:t>
      </w:r>
      <w:r w:rsidR="003A59C1" w:rsidRPr="008D655D">
        <w:t>Von der I</w:t>
      </w:r>
      <w:r w:rsidR="003A59C1">
        <w:t xml:space="preserve">nternationalen </w:t>
      </w:r>
      <w:r w:rsidR="003A59C1" w:rsidRPr="008D655D">
        <w:t>K</w:t>
      </w:r>
      <w:r w:rsidR="003A59C1">
        <w:t>ontrollkommission</w:t>
      </w:r>
      <w:r w:rsidR="003A59C1" w:rsidRPr="008D655D">
        <w:t xml:space="preserve"> </w:t>
      </w:r>
      <w:r w:rsidR="003A59C1">
        <w:t xml:space="preserve">der Komintern </w:t>
      </w:r>
      <w:r w:rsidR="003A59C1" w:rsidRPr="008D655D">
        <w:t>e</w:t>
      </w:r>
      <w:r w:rsidR="003A59C1" w:rsidRPr="008D655D">
        <w:t>r</w:t>
      </w:r>
      <w:r w:rsidR="003A59C1" w:rsidRPr="008D655D">
        <w:t>hält er im April 1936 eine strenge Rüge</w:t>
      </w:r>
      <w:r w:rsidR="003A59C1">
        <w:t xml:space="preserve">. </w:t>
      </w:r>
      <w:r w:rsidR="00BE3B13">
        <w:t>Der Grund ist, dass</w:t>
      </w:r>
      <w:r w:rsidR="00BE3B13" w:rsidRPr="008D655D">
        <w:t xml:space="preserve"> er bei seinem Aufenthalt in Mo</w:t>
      </w:r>
      <w:r w:rsidR="00BE3B13" w:rsidRPr="008D655D">
        <w:t>s</w:t>
      </w:r>
      <w:r w:rsidR="00BE3B13" w:rsidRPr="008D655D">
        <w:t>kau Karl Radek besucht hat</w:t>
      </w:r>
      <w:r w:rsidR="00BE3B13">
        <w:t>.</w:t>
      </w:r>
      <w:r w:rsidR="00BE3B13">
        <w:rPr>
          <w:rStyle w:val="Funotenzeichen"/>
        </w:rPr>
        <w:footnoteReference w:id="22"/>
      </w:r>
      <w:r w:rsidR="00BE3B13">
        <w:t xml:space="preserve"> Dass allein schon ein solcher Besuch Anlass für eine „strenge Rüge“ ist, beleuchtet die politische Situation.</w:t>
      </w:r>
      <w:r w:rsidR="00F97B7B">
        <w:rPr>
          <w:rStyle w:val="Funotenzeichen"/>
        </w:rPr>
        <w:footnoteReference w:id="23"/>
      </w:r>
      <w:r w:rsidR="00BE3B13">
        <w:t xml:space="preserve"> Die Stigmatisierung derjenigen, die für einen </w:t>
      </w:r>
      <w:r w:rsidR="00BE3B13">
        <w:lastRenderedPageBreak/>
        <w:t>Schauprozess vorgesehen sind, erfolgt bereits im Vorfeld. Münzenberg ist jedoch aufgrund seiner Repu</w:t>
      </w:r>
      <w:r w:rsidR="003A59C1">
        <w:t xml:space="preserve">tation in der Anfangsphase der „Volksfront“-Bemühungen als Repräsentant der KPD </w:t>
      </w:r>
      <w:r w:rsidR="002371C8">
        <w:t xml:space="preserve">noch </w:t>
      </w:r>
      <w:r w:rsidR="003A59C1">
        <w:t>unverzichtbar.</w:t>
      </w:r>
      <w:r w:rsidR="00BE3B13" w:rsidRPr="008D655D">
        <w:t xml:space="preserve"> </w:t>
      </w:r>
    </w:p>
    <w:p w:rsidR="00883E03" w:rsidRDefault="00E5280B" w:rsidP="009B3FA6">
      <w:pPr>
        <w:spacing w:after="0"/>
        <w:ind w:firstLine="708"/>
        <w:jc w:val="both"/>
      </w:pPr>
      <w:proofErr w:type="spellStart"/>
      <w:r>
        <w:t>Šmeral</w:t>
      </w:r>
      <w:proofErr w:type="spellEnd"/>
      <w:r w:rsidR="00D813D1">
        <w:t xml:space="preserve"> geht mehrfach auf den „Fall Münzenberg“ ein, u.a. </w:t>
      </w:r>
      <w:r w:rsidR="00D52F69">
        <w:t>im Zusammenhang von Hinweisen auf „Unruhe u</w:t>
      </w:r>
      <w:r w:rsidR="005032EF">
        <w:t>nd</w:t>
      </w:r>
      <w:r w:rsidR="00D52F69">
        <w:t xml:space="preserve"> Desorganisation“ bei der Arbeit </w:t>
      </w:r>
      <w:r w:rsidR="00D813D1">
        <w:t>d</w:t>
      </w:r>
      <w:r w:rsidR="00D52F69">
        <w:t>e</w:t>
      </w:r>
      <w:r w:rsidR="00D813D1">
        <w:t xml:space="preserve">s </w:t>
      </w:r>
      <w:r w:rsidR="00EE6613">
        <w:t>„</w:t>
      </w:r>
      <w:r w:rsidR="00D813D1">
        <w:t>Weltkomitee</w:t>
      </w:r>
      <w:r w:rsidR="00D52F69">
        <w:t>s</w:t>
      </w:r>
      <w:r w:rsidR="00D813D1">
        <w:t xml:space="preserve"> gegen Krieg und Faschismus</w:t>
      </w:r>
      <w:r w:rsidR="00EE6613">
        <w:t>“</w:t>
      </w:r>
      <w:r w:rsidR="006C7652">
        <w:t xml:space="preserve">. Er </w:t>
      </w:r>
      <w:r w:rsidR="00E33735">
        <w:t xml:space="preserve">legt </w:t>
      </w:r>
      <w:r w:rsidR="00EE6613">
        <w:t>allerdings</w:t>
      </w:r>
      <w:r w:rsidR="00E33735">
        <w:t xml:space="preserve"> Wert darauf</w:t>
      </w:r>
      <w:r w:rsidR="00D52F69">
        <w:t xml:space="preserve"> </w:t>
      </w:r>
      <w:r w:rsidR="00EE6613">
        <w:t>zu betonen</w:t>
      </w:r>
      <w:r w:rsidR="00E33735">
        <w:t xml:space="preserve">, dass Irritationen, die der „Fall Münzenberg“ </w:t>
      </w:r>
      <w:r w:rsidR="00D52F69">
        <w:t xml:space="preserve">insbesondere </w:t>
      </w:r>
      <w:r w:rsidR="00E33735">
        <w:t xml:space="preserve">bei Persönlichkeiten wie Heinrich Mann </w:t>
      </w:r>
      <w:r w:rsidR="00D52F69">
        <w:t>oder</w:t>
      </w:r>
      <w:r w:rsidR="00E33735">
        <w:t xml:space="preserve"> Rudolf Breitscheid ausgelöst hat, inzwischen behoben s</w:t>
      </w:r>
      <w:r w:rsidR="00EE6613">
        <w:t>eien</w:t>
      </w:r>
      <w:r w:rsidR="00D52F69">
        <w:t>. Eine konsequente Trennung von Münzenberg würde also keine weitreichende</w:t>
      </w:r>
      <w:r w:rsidR="005032EF">
        <w:t>n</w:t>
      </w:r>
      <w:r w:rsidR="00D52F69">
        <w:t xml:space="preserve"> Folgen mehr haben</w:t>
      </w:r>
      <w:r w:rsidR="00D813D1">
        <w:t>:</w:t>
      </w:r>
    </w:p>
    <w:p w:rsidR="00D813D1" w:rsidRDefault="00D813D1" w:rsidP="006C7652">
      <w:pPr>
        <w:spacing w:after="0"/>
        <w:ind w:left="1134"/>
        <w:jc w:val="both"/>
      </w:pPr>
      <w:r>
        <w:t>„Eine andere Tatsache, die eine Unruhe und Desorganisation in einem Teil der um das W.K. [das Weltkomitee gegen Krieg und Faschismus] sich gruppierenden Persönlichkeiten hervorrief, war die Unklarheit in der Frage Willi Münzenberg. Breitscheid, teilweise auch</w:t>
      </w:r>
      <w:r w:rsidR="006C7652">
        <w:t xml:space="preserve"> </w:t>
      </w:r>
      <w:r>
        <w:t>Heinrich Mann, waren mit Willi politisch und persö</w:t>
      </w:r>
      <w:r>
        <w:t>n</w:t>
      </w:r>
      <w:r>
        <w:t>l</w:t>
      </w:r>
      <w:r w:rsidR="006C7652">
        <w:t>i</w:t>
      </w:r>
      <w:r>
        <w:t xml:space="preserve">ch eng verbunden. Auch in diesem Fall ist es gelungen, </w:t>
      </w:r>
      <w:proofErr w:type="spellStart"/>
      <w:r>
        <w:t>daß</w:t>
      </w:r>
      <w:proofErr w:type="spellEnd"/>
      <w:r>
        <w:t xml:space="preserve"> trotz dieser Verbi</w:t>
      </w:r>
      <w:r>
        <w:t>n</w:t>
      </w:r>
      <w:r>
        <w:t>dung z.B. bei Breitscheid seine tägliche Mitarbeit im W.K. nicht gestört wurde</w:t>
      </w:r>
      <w:r w:rsidR="006C7652">
        <w:t>.“</w:t>
      </w:r>
      <w:r w:rsidR="006C7652">
        <w:rPr>
          <w:rStyle w:val="Funotenzeichen"/>
        </w:rPr>
        <w:footnoteReference w:id="24"/>
      </w:r>
    </w:p>
    <w:p w:rsidR="00343B2D" w:rsidRDefault="00987D42" w:rsidP="006C7652">
      <w:pPr>
        <w:spacing w:after="0"/>
        <w:jc w:val="both"/>
      </w:pPr>
      <w:proofErr w:type="spellStart"/>
      <w:r>
        <w:t>Šmeral</w:t>
      </w:r>
      <w:proofErr w:type="spellEnd"/>
      <w:r>
        <w:t xml:space="preserve"> </w:t>
      </w:r>
      <w:r w:rsidR="00E33735">
        <w:t xml:space="preserve">warnt </w:t>
      </w:r>
      <w:r w:rsidR="00D52F69">
        <w:t>trotzdem</w:t>
      </w:r>
      <w:r w:rsidR="00EE6613">
        <w:t xml:space="preserve"> </w:t>
      </w:r>
      <w:r w:rsidR="00E33735">
        <w:t xml:space="preserve">davor, </w:t>
      </w:r>
      <w:r w:rsidR="00D52F69">
        <w:t xml:space="preserve">in der jetzigen Situation </w:t>
      </w:r>
      <w:r w:rsidR="00E33735">
        <w:t xml:space="preserve">den „Fall Münzenberg“ </w:t>
      </w:r>
      <w:r w:rsidR="004562B3">
        <w:t xml:space="preserve">zu forcieren: </w:t>
      </w:r>
      <w:r w:rsidR="004562B3" w:rsidRPr="00EE6613">
        <w:rPr>
          <w:i/>
        </w:rPr>
        <w:t xml:space="preserve">Die politischen Folgen seien nicht absehbar. </w:t>
      </w:r>
      <w:r w:rsidR="00D65806">
        <w:t xml:space="preserve">Münzenberg </w:t>
      </w:r>
      <w:r w:rsidR="004562B3">
        <w:t>werde – „wenn er einen politischen Kampf führen sollte“</w:t>
      </w:r>
      <w:r w:rsidR="004562B3">
        <w:rPr>
          <w:rStyle w:val="Funotenzeichen"/>
        </w:rPr>
        <w:footnoteReference w:id="25"/>
      </w:r>
      <w:r w:rsidR="004562B3">
        <w:t xml:space="preserve"> – d</w:t>
      </w:r>
      <w:r w:rsidR="00D65806">
        <w:t xml:space="preserve">ie </w:t>
      </w:r>
      <w:r w:rsidR="004562B3">
        <w:t>politischen und propagandistischen Machtmittel, über die er ve</w:t>
      </w:r>
      <w:r w:rsidR="004562B3">
        <w:t>r</w:t>
      </w:r>
      <w:r w:rsidR="004562B3">
        <w:t xml:space="preserve">fügt, </w:t>
      </w:r>
      <w:r w:rsidR="00D52F69">
        <w:t>auch gebrauche</w:t>
      </w:r>
      <w:r w:rsidR="00D65806">
        <w:t xml:space="preserve">n. </w:t>
      </w:r>
      <w:r w:rsidR="00B62BDA">
        <w:t>Auch</w:t>
      </w:r>
      <w:r w:rsidR="00107DBE">
        <w:t xml:space="preserve"> </w:t>
      </w:r>
      <w:r w:rsidR="00EE6613">
        <w:t xml:space="preserve">werde </w:t>
      </w:r>
      <w:r w:rsidR="00B62BDA">
        <w:t>er</w:t>
      </w:r>
      <w:r w:rsidR="00107DBE">
        <w:t xml:space="preserve"> </w:t>
      </w:r>
      <w:r w:rsidR="00EE6613" w:rsidRPr="00107DBE">
        <w:t>nicht</w:t>
      </w:r>
      <w:r w:rsidR="00EE6613">
        <w:rPr>
          <w:i/>
        </w:rPr>
        <w:t xml:space="preserve"> </w:t>
      </w:r>
      <w:r w:rsidR="00EE6613">
        <w:t>nach Moskau kommen</w:t>
      </w:r>
      <w:r w:rsidR="00107DBE">
        <w:t>.</w:t>
      </w:r>
      <w:r w:rsidR="005E16DE">
        <w:rPr>
          <w:rStyle w:val="Funotenzeichen"/>
        </w:rPr>
        <w:footnoteReference w:id="26"/>
      </w:r>
      <w:r w:rsidR="00107DBE">
        <w:t xml:space="preserve"> </w:t>
      </w:r>
      <w:r w:rsidR="00343B2D">
        <w:t xml:space="preserve">– </w:t>
      </w:r>
      <w:r w:rsidR="00B62BDA">
        <w:t>I</w:t>
      </w:r>
      <w:r w:rsidR="00107DBE">
        <w:t xml:space="preserve">mplizit </w:t>
      </w:r>
      <w:r w:rsidR="00343B2D">
        <w:t xml:space="preserve">formuliert </w:t>
      </w:r>
      <w:proofErr w:type="spellStart"/>
      <w:r w:rsidR="00343B2D">
        <w:t>Šmeral</w:t>
      </w:r>
      <w:proofErr w:type="spellEnd"/>
      <w:r w:rsidR="00343B2D">
        <w:t xml:space="preserve"> damit ein aufschlussreiches Faktum</w:t>
      </w:r>
      <w:r w:rsidR="00107DBE">
        <w:t xml:space="preserve">: </w:t>
      </w:r>
      <w:r w:rsidR="005E16DE">
        <w:t xml:space="preserve">Münzenberg </w:t>
      </w:r>
      <w:r w:rsidR="00343B2D">
        <w:t>wi</w:t>
      </w:r>
      <w:r w:rsidR="005E16DE">
        <w:t>sse</w:t>
      </w:r>
      <w:r w:rsidR="00343B2D">
        <w:t xml:space="preserve"> </w:t>
      </w:r>
      <w:r w:rsidR="005E16DE">
        <w:t xml:space="preserve">wie </w:t>
      </w:r>
      <w:proofErr w:type="spellStart"/>
      <w:r w:rsidR="005E16DE">
        <w:t>Šmeral</w:t>
      </w:r>
      <w:proofErr w:type="spellEnd"/>
      <w:r w:rsidR="00107DBE">
        <w:t>, dass</w:t>
      </w:r>
      <w:r w:rsidR="00343B2D">
        <w:t xml:space="preserve">, sollte </w:t>
      </w:r>
      <w:r w:rsidR="005E16DE">
        <w:t>Mü</w:t>
      </w:r>
      <w:r w:rsidR="005E16DE">
        <w:t>n</w:t>
      </w:r>
      <w:r w:rsidR="005E16DE">
        <w:t>zenberg</w:t>
      </w:r>
      <w:r w:rsidR="00343B2D">
        <w:t xml:space="preserve"> der Aufforderung nach Moskau zu kommen Folge leisten,</w:t>
      </w:r>
      <w:r w:rsidR="00107DBE">
        <w:t xml:space="preserve"> </w:t>
      </w:r>
      <w:r w:rsidR="005E16DE">
        <w:t xml:space="preserve">er </w:t>
      </w:r>
      <w:r w:rsidR="00107DBE">
        <w:t>nicht als freier Mann nach Paris zurückk</w:t>
      </w:r>
      <w:r w:rsidR="00343B2D">
        <w:t>ehr</w:t>
      </w:r>
      <w:r w:rsidR="00107DBE">
        <w:t>en würde</w:t>
      </w:r>
      <w:r w:rsidR="00EE6613">
        <w:t>.</w:t>
      </w:r>
      <w:r w:rsidR="004562B3">
        <w:t xml:space="preserve"> </w:t>
      </w:r>
    </w:p>
    <w:p w:rsidR="009B3FA6" w:rsidRDefault="00D65806" w:rsidP="00343B2D">
      <w:pPr>
        <w:spacing w:after="0"/>
        <w:ind w:firstLine="708"/>
        <w:jc w:val="both"/>
      </w:pPr>
      <w:proofErr w:type="spellStart"/>
      <w:r>
        <w:t>Šmeral</w:t>
      </w:r>
      <w:proofErr w:type="spellEnd"/>
      <w:r>
        <w:t xml:space="preserve"> schließt den Bericht mit einer </w:t>
      </w:r>
      <w:r w:rsidR="004562B3">
        <w:t>vorsichtigen, der Sachlage nach ab</w:t>
      </w:r>
      <w:r>
        <w:t>e</w:t>
      </w:r>
      <w:r w:rsidR="004562B3">
        <w:t>r e</w:t>
      </w:r>
      <w:r>
        <w:t xml:space="preserve">indeutigen </w:t>
      </w:r>
      <w:r w:rsidR="00107DBE">
        <w:t>Empfehl</w:t>
      </w:r>
      <w:r w:rsidR="00E518A2">
        <w:t xml:space="preserve">ung. </w:t>
      </w:r>
      <w:r w:rsidR="00EE6613">
        <w:t xml:space="preserve">Im „Fall Münzenberg“ </w:t>
      </w:r>
      <w:r w:rsidR="00E518A2">
        <w:t>müsse umgehend „Klarheit“ hergestellt werden</w:t>
      </w:r>
      <w:r w:rsidR="004562B3">
        <w:t>:</w:t>
      </w:r>
    </w:p>
    <w:p w:rsidR="00D65806" w:rsidRDefault="00D65806" w:rsidP="00D65806">
      <w:pPr>
        <w:spacing w:after="0"/>
        <w:ind w:left="1134"/>
        <w:jc w:val="both"/>
      </w:pPr>
      <w:r>
        <w:t>„Was die Frage des Gen. Münzenberg betrifft, kann ich ganz kur</w:t>
      </w:r>
      <w:r w:rsidR="00E33735">
        <w:t>z</w:t>
      </w:r>
      <w:r>
        <w:t xml:space="preserve"> formulieren: ich bin mir </w:t>
      </w:r>
      <w:proofErr w:type="spellStart"/>
      <w:r>
        <w:t>bewußt</w:t>
      </w:r>
      <w:proofErr w:type="spellEnd"/>
      <w:r>
        <w:t xml:space="preserve">, </w:t>
      </w:r>
      <w:proofErr w:type="spellStart"/>
      <w:r>
        <w:t>daß</w:t>
      </w:r>
      <w:proofErr w:type="spellEnd"/>
      <w:r>
        <w:t xml:space="preserve"> in der jetzigen Situation ein Ausbruch eines jeden, wenn auch nur vorübergehenden Skandals, auf dem Pariser Boden unbequem ist. </w:t>
      </w:r>
      <w:r w:rsidR="005E16DE">
        <w:t xml:space="preserve">[…] </w:t>
      </w:r>
      <w:r>
        <w:t xml:space="preserve">Die Sache zieht sich </w:t>
      </w:r>
      <w:r w:rsidR="005E16DE">
        <w:t xml:space="preserve">[andererseits] </w:t>
      </w:r>
      <w:r>
        <w:t>schon mehr als ein Jahr hin. Vor meiner Abre</w:t>
      </w:r>
      <w:r>
        <w:t>i</w:t>
      </w:r>
      <w:r>
        <w:t>se von hier [aus Moskau] sollte unbedingt Klarheit geschaffen werden, was mit Willi Münzenberg sein soll.“</w:t>
      </w:r>
      <w:r>
        <w:rPr>
          <w:rStyle w:val="Funotenzeichen"/>
        </w:rPr>
        <w:footnoteReference w:id="27"/>
      </w:r>
    </w:p>
    <w:p w:rsidR="00D65806" w:rsidRDefault="004562B3" w:rsidP="006C7652">
      <w:pPr>
        <w:spacing w:after="0"/>
        <w:jc w:val="both"/>
      </w:pPr>
      <w:proofErr w:type="spellStart"/>
      <w:r>
        <w:t>Šmerals</w:t>
      </w:r>
      <w:proofErr w:type="spellEnd"/>
      <w:r>
        <w:t xml:space="preserve"> Formulierungen machen deutlich, dass die entscheidenden politischen Fragen nicht in Paris, also unter den Partnern der „Volksfront“-Verhandlungen, entschieden werden</w:t>
      </w:r>
      <w:r w:rsidRPr="00EE6613">
        <w:rPr>
          <w:i/>
        </w:rPr>
        <w:t>, sondern in Moskau.</w:t>
      </w:r>
      <w:r w:rsidR="005E43CF">
        <w:rPr>
          <w:rStyle w:val="Funotenzeichen"/>
        </w:rPr>
        <w:footnoteReference w:id="28"/>
      </w:r>
      <w:r>
        <w:t xml:space="preserve"> Genau das ist der entscheidende Punkt, der die „Volksfront“-Verhandlungen letztendlich zum Scheitern bringt.</w:t>
      </w:r>
    </w:p>
    <w:p w:rsidR="004562B3" w:rsidRDefault="004562B3" w:rsidP="006C7652">
      <w:pPr>
        <w:spacing w:after="0"/>
        <w:jc w:val="both"/>
      </w:pPr>
    </w:p>
    <w:p w:rsidR="00197D5D" w:rsidRDefault="00591537" w:rsidP="00302755">
      <w:pPr>
        <w:spacing w:after="0"/>
        <w:jc w:val="both"/>
      </w:pPr>
      <w:r>
        <w:tab/>
        <w:t>Die politische Position des Exils wird jedoch nicht nur durch das militärische Ersta</w:t>
      </w:r>
      <w:r>
        <w:t>r</w:t>
      </w:r>
      <w:r>
        <w:t xml:space="preserve">ken des Dritten Reiches, </w:t>
      </w:r>
      <w:r w:rsidR="00107DBE">
        <w:t xml:space="preserve">die sich vergrößernde Kluft innerhalb der Parteienlandschaft des Exils sowie durch </w:t>
      </w:r>
      <w:r>
        <w:t xml:space="preserve">die sich allmählich </w:t>
      </w:r>
      <w:r w:rsidR="007765D6">
        <w:t>intensivier</w:t>
      </w:r>
      <w:r>
        <w:t xml:space="preserve">ende </w:t>
      </w:r>
      <w:proofErr w:type="spellStart"/>
      <w:r>
        <w:t>Ap</w:t>
      </w:r>
      <w:r w:rsidR="00F1372B">
        <w:t>p</w:t>
      </w:r>
      <w:r>
        <w:t>easementpolitik</w:t>
      </w:r>
      <w:proofErr w:type="spellEnd"/>
      <w:r>
        <w:t xml:space="preserve"> der deutschen </w:t>
      </w:r>
      <w:r>
        <w:lastRenderedPageBreak/>
        <w:t xml:space="preserve">Nachbarstaaten geschwächt. Das </w:t>
      </w:r>
      <w:r w:rsidR="00107DBE">
        <w:t>völlige Scheitern</w:t>
      </w:r>
      <w:r>
        <w:t xml:space="preserve"> der „Volksfront“-Politik ist </w:t>
      </w:r>
      <w:r w:rsidR="007765D6">
        <w:t xml:space="preserve">letztlich vor allem </w:t>
      </w:r>
      <w:r>
        <w:t>eine Folge des Spanischen Bürgerkriegs.</w:t>
      </w:r>
      <w:r w:rsidR="007765D6">
        <w:t xml:space="preserve"> Hier sieht Ursula Langkau-Alex die Hauptu</w:t>
      </w:r>
      <w:r w:rsidR="007765D6">
        <w:t>r</w:t>
      </w:r>
      <w:r w:rsidR="007765D6">
        <w:t xml:space="preserve">sache für </w:t>
      </w:r>
      <w:r w:rsidR="005B68B9">
        <w:t>den Zusammenbruch der „Volksfront“-Politik:</w:t>
      </w:r>
    </w:p>
    <w:p w:rsidR="004D2443" w:rsidRPr="008D655D" w:rsidRDefault="004D2443" w:rsidP="005B68B9">
      <w:pPr>
        <w:spacing w:after="0"/>
        <w:ind w:left="1134"/>
        <w:jc w:val="both"/>
      </w:pPr>
      <w:r w:rsidRPr="008D655D">
        <w:t xml:space="preserve">„Das Auseinanderdriften im </w:t>
      </w:r>
      <w:proofErr w:type="spellStart"/>
      <w:r w:rsidRPr="008D655D">
        <w:t>Volksfrontausschuß</w:t>
      </w:r>
      <w:proofErr w:type="spellEnd"/>
      <w:r w:rsidRPr="008D655D">
        <w:t xml:space="preserve">, im </w:t>
      </w:r>
      <w:proofErr w:type="spellStart"/>
      <w:r w:rsidRPr="008D655D">
        <w:t>Lutetia</w:t>
      </w:r>
      <w:proofErr w:type="spellEnd"/>
      <w:r w:rsidRPr="008D655D">
        <w:t>-Kreis, in den im Z</w:t>
      </w:r>
      <w:r w:rsidRPr="008D655D">
        <w:t>u</w:t>
      </w:r>
      <w:r w:rsidRPr="008D655D">
        <w:t>ge der Volksfrontbewegung konstituierten Gewerkschafts-</w:t>
      </w:r>
      <w:proofErr w:type="spellStart"/>
      <w:r w:rsidRPr="008D655D">
        <w:t>Koordinations</w:t>
      </w:r>
      <w:r w:rsidR="005B68B9">
        <w:t>a</w:t>
      </w:r>
      <w:r w:rsidRPr="008D655D">
        <w:t>usschüs</w:t>
      </w:r>
      <w:proofErr w:type="spellEnd"/>
      <w:r w:rsidR="005B68B9">
        <w:t>-</w:t>
      </w:r>
      <w:proofErr w:type="spellStart"/>
      <w:r w:rsidRPr="008D655D">
        <w:t>sen</w:t>
      </w:r>
      <w:proofErr w:type="spellEnd"/>
      <w:r w:rsidRPr="008D655D">
        <w:t xml:space="preserve"> […], selbst innerhalb der Parteien und Gruppierungen, verlief parallel zu den in Frankreich und in Spanien sich vollziehenden inhaltlichen und strukturellen Wandlungen der Volksfrontbündnisse. Auch wenn dort die ungelösten sozialen, wirtschaftlichen, innenpolitischen Probleme schwer wogen, </w:t>
      </w:r>
      <w:r w:rsidRPr="005B68B9">
        <w:rPr>
          <w:i/>
        </w:rPr>
        <w:t>so ist als Haupturs</w:t>
      </w:r>
      <w:r w:rsidRPr="005B68B9">
        <w:rPr>
          <w:i/>
        </w:rPr>
        <w:t>a</w:t>
      </w:r>
      <w:r w:rsidRPr="005B68B9">
        <w:rPr>
          <w:i/>
        </w:rPr>
        <w:t>che doch der Krieg in Spanien zu nennen</w:t>
      </w:r>
      <w:r w:rsidRPr="008D655D">
        <w:t>.“</w:t>
      </w:r>
      <w:r w:rsidR="005B68B9">
        <w:rPr>
          <w:rStyle w:val="Funotenzeichen"/>
        </w:rPr>
        <w:footnoteReference w:id="29"/>
      </w:r>
      <w:r w:rsidRPr="008D655D">
        <w:t xml:space="preserve"> </w:t>
      </w:r>
    </w:p>
    <w:p w:rsidR="00F66E8C" w:rsidRDefault="00107DBE" w:rsidP="00302755">
      <w:pPr>
        <w:spacing w:after="0"/>
        <w:jc w:val="both"/>
      </w:pPr>
      <w:r>
        <w:t xml:space="preserve">Dass der Spanische Bürgerkrieg der entscheidende Grund für das Scheitern der „Volksfront“-Politik sein soll, überrascht auf den ersten Blick. </w:t>
      </w:r>
      <w:r w:rsidR="005B68B9">
        <w:t>Wo liegen die Gründe für diese Entwic</w:t>
      </w:r>
      <w:r w:rsidR="005B68B9">
        <w:t>k</w:t>
      </w:r>
      <w:r w:rsidR="005B68B9">
        <w:t xml:space="preserve">lung? Wieso konnte ein Ereignis, das auf den ersten Bezug </w:t>
      </w:r>
      <w:r w:rsidR="00F27D57">
        <w:t>einen nur mittelbaren</w:t>
      </w:r>
      <w:r w:rsidR="005B68B9">
        <w:t xml:space="preserve"> Bezug zum Nationalsozialismus zu haben scheint, einen derartig starken Einfluss ausüben?</w:t>
      </w:r>
      <w:r w:rsidR="00F27D57">
        <w:t xml:space="preserve"> </w:t>
      </w:r>
    </w:p>
    <w:p w:rsidR="00197D5D" w:rsidRDefault="00F27D57" w:rsidP="00F66E8C">
      <w:pPr>
        <w:spacing w:after="0"/>
        <w:ind w:firstLine="708"/>
        <w:jc w:val="both"/>
      </w:pPr>
      <w:r>
        <w:t>Die Vorgänge in Spanien, speziell der Kampf großer Teile der Bevölkerung gegen die Insurgenten, weckte</w:t>
      </w:r>
      <w:r w:rsidR="005032EF">
        <w:t>n</w:t>
      </w:r>
      <w:r>
        <w:t xml:space="preserve"> in der ganzen Welt Emotionen. Der Wunsch, die spanische Republik zu unterstützen, war insbesondere bei </w:t>
      </w:r>
      <w:r w:rsidR="00AF52C0">
        <w:t>weit</w:t>
      </w:r>
      <w:r>
        <w:t xml:space="preserve">en Teilen des in Frankreich befindlichen politischen Exils groß. </w:t>
      </w:r>
      <w:r w:rsidR="00021A14">
        <w:t>Viele Emigranten sahen in der Beteiligung am Widerstandskampf gegen die I</w:t>
      </w:r>
      <w:r w:rsidR="00021A14">
        <w:t>n</w:t>
      </w:r>
      <w:r w:rsidR="00021A14">
        <w:t xml:space="preserve">surgenten die Chance, die ihnen auferlegte Passivität zu überwinden und </w:t>
      </w:r>
      <w:r w:rsidR="00F66E8C">
        <w:t xml:space="preserve">damit </w:t>
      </w:r>
      <w:r w:rsidR="00021A14">
        <w:t xml:space="preserve">aktiv für </w:t>
      </w:r>
      <w:r w:rsidR="00F66E8C">
        <w:t>ihre politische Überzeugung</w:t>
      </w:r>
      <w:r w:rsidR="00021A14">
        <w:t xml:space="preserve"> einzutreten. </w:t>
      </w:r>
      <w:r w:rsidR="005032EF">
        <w:t>Doch</w:t>
      </w:r>
      <w:r>
        <w:t xml:space="preserve"> im Verlauf der außerordentlich verlustreichen</w:t>
      </w:r>
      <w:r w:rsidR="00AF52C0">
        <w:t xml:space="preserve"> </w:t>
      </w:r>
      <w:r>
        <w:t xml:space="preserve">Kämpfe wurde klar erkennbar, dass </w:t>
      </w:r>
      <w:r w:rsidR="00AF52C0">
        <w:t xml:space="preserve">die politischen Gemeinsamkeiten zwischen den Gruppen und Parteien, die die spanische Republik in ihrem Kampf unterstützten, gering waren, die Differenzen </w:t>
      </w:r>
      <w:r w:rsidR="00F66E8C">
        <w:t>dagegen aber</w:t>
      </w:r>
      <w:r w:rsidR="00AF52C0">
        <w:t xml:space="preserve"> derartig groß, dass sie z.T. erbitterter Gegnerschaft glichen.</w:t>
      </w:r>
      <w:r w:rsidR="00B2325F">
        <w:rPr>
          <w:rStyle w:val="Funotenzeichen"/>
        </w:rPr>
        <w:footnoteReference w:id="30"/>
      </w:r>
      <w:r w:rsidR="00AF52C0">
        <w:t xml:space="preserve"> </w:t>
      </w:r>
      <w:r w:rsidR="00A47A01">
        <w:t xml:space="preserve">Die Verdächtigung der unterschiedlichen Parteien und Gruppen der </w:t>
      </w:r>
      <w:r w:rsidR="00B0278D">
        <w:t xml:space="preserve">nichtkommunistischen </w:t>
      </w:r>
      <w:r w:rsidR="00A47A01">
        <w:t>polit</w:t>
      </w:r>
      <w:r w:rsidR="00A47A01">
        <w:t>i</w:t>
      </w:r>
      <w:r w:rsidR="00A47A01">
        <w:t xml:space="preserve">schen Linken seitens der KP als „Trotzkisten“ oder „Faschisten“ war </w:t>
      </w:r>
      <w:r w:rsidR="00B0278D">
        <w:t>allgegenwärtig</w:t>
      </w:r>
      <w:r w:rsidR="00A47A01">
        <w:t>.</w:t>
      </w:r>
      <w:r w:rsidR="00AC50F3">
        <w:rPr>
          <w:rStyle w:val="Funotenzeichen"/>
        </w:rPr>
        <w:footnoteReference w:id="31"/>
      </w:r>
      <w:r w:rsidR="00A47A01">
        <w:t xml:space="preserve"> </w:t>
      </w:r>
      <w:r w:rsidR="00847D56">
        <w:t xml:space="preserve">Es kam zu Verhaftungen, Entführungen, Folterungen, Ermordungen. </w:t>
      </w:r>
      <w:r w:rsidR="005032EF">
        <w:t>Gleichzeitig wurde jede</w:t>
      </w:r>
      <w:r w:rsidR="005032EF">
        <w:t>r</w:t>
      </w:r>
      <w:r w:rsidR="005032EF">
        <w:t xml:space="preserve">mann bewusst, </w:t>
      </w:r>
      <w:r w:rsidR="00AF52C0">
        <w:t xml:space="preserve">dass die </w:t>
      </w:r>
      <w:r w:rsidR="00021A14">
        <w:t xml:space="preserve">westeuropäischen </w:t>
      </w:r>
      <w:r w:rsidR="00AF52C0">
        <w:t xml:space="preserve">Demokratien die Republik </w:t>
      </w:r>
      <w:r w:rsidR="00AF52C0">
        <w:rPr>
          <w:i/>
        </w:rPr>
        <w:t xml:space="preserve">nicht </w:t>
      </w:r>
      <w:r w:rsidR="00AF52C0">
        <w:t>unterstützten</w:t>
      </w:r>
      <w:r w:rsidR="00F66E8C">
        <w:t>, wohl aber die</w:t>
      </w:r>
      <w:r w:rsidR="00AF52C0">
        <w:t xml:space="preserve"> beiden Diktaturen</w:t>
      </w:r>
      <w:r w:rsidR="005032EF">
        <w:t>:</w:t>
      </w:r>
      <w:r w:rsidR="00F66E8C">
        <w:t xml:space="preserve"> Deutschland und Italien</w:t>
      </w:r>
      <w:r w:rsidR="00AF52C0">
        <w:t xml:space="preserve">. Das Zusammenwirken dieser beiden Faktoren löste einen Prozess tiefgreifender Desillusionierung aus. </w:t>
      </w:r>
      <w:r w:rsidR="005F34B6">
        <w:t xml:space="preserve">Er wurde </w:t>
      </w:r>
      <w:r w:rsidR="00B2325F">
        <w:t xml:space="preserve">verstärkt durch </w:t>
      </w:r>
      <w:r w:rsidR="00B2325F">
        <w:lastRenderedPageBreak/>
        <w:t xml:space="preserve">den Fall von Barcelona und Madrid, also durch die Niederlage der Republik. </w:t>
      </w:r>
      <w:r w:rsidR="005032EF">
        <w:t>Der Enthusia</w:t>
      </w:r>
      <w:r w:rsidR="005032EF">
        <w:t>s</w:t>
      </w:r>
      <w:r w:rsidR="005032EF">
        <w:t xml:space="preserve">mus endete in Depression und Entwürdigung: </w:t>
      </w:r>
      <w:r w:rsidR="00B2325F">
        <w:t>Die Anfang 1939 nach Frankreich zurückfl</w:t>
      </w:r>
      <w:r w:rsidR="00B2325F">
        <w:t>u</w:t>
      </w:r>
      <w:r w:rsidR="00B2325F">
        <w:t xml:space="preserve">tenden Truppen wurden in improvisierten Internierungslagern (St. Cyprien, </w:t>
      </w:r>
      <w:proofErr w:type="spellStart"/>
      <w:r w:rsidR="00B2325F">
        <w:t>Argelès-sur-mer</w:t>
      </w:r>
      <w:proofErr w:type="spellEnd"/>
      <w:r w:rsidR="00B2325F">
        <w:t xml:space="preserve">, </w:t>
      </w:r>
      <w:proofErr w:type="spellStart"/>
      <w:r w:rsidR="00B2325F">
        <w:t>Gurs</w:t>
      </w:r>
      <w:proofErr w:type="spellEnd"/>
      <w:r w:rsidR="00B2325F">
        <w:t xml:space="preserve"> u.a.) inhaftiert.</w:t>
      </w:r>
      <w:r w:rsidR="005032EF">
        <w:t xml:space="preserve"> </w:t>
      </w:r>
      <w:r w:rsidR="00992133">
        <w:t>Wenige Monate später begann der Zweite Weltkrieg.</w:t>
      </w:r>
    </w:p>
    <w:p w:rsidR="00FE7540" w:rsidRDefault="00FE7540" w:rsidP="00F66E8C">
      <w:pPr>
        <w:spacing w:after="0"/>
        <w:ind w:firstLine="708"/>
        <w:jc w:val="both"/>
      </w:pPr>
    </w:p>
    <w:p w:rsidR="00F1372B" w:rsidRDefault="00CA58CF" w:rsidP="00E64C33">
      <w:pPr>
        <w:spacing w:after="0"/>
        <w:ind w:firstLine="708"/>
        <w:jc w:val="both"/>
      </w:pPr>
      <w:r>
        <w:t>Für die Gesamtheit der deutschsprachigen Emigration</w:t>
      </w:r>
      <w:r w:rsidR="001A64DC">
        <w:t xml:space="preserve">, speziell </w:t>
      </w:r>
      <w:r w:rsidR="00281F4F">
        <w:t xml:space="preserve">aber </w:t>
      </w:r>
      <w:r w:rsidR="001A64DC">
        <w:t>für das politische Exil,</w:t>
      </w:r>
      <w:r>
        <w:t xml:space="preserve"> </w:t>
      </w:r>
      <w:r w:rsidR="00FE7540">
        <w:t>war</w:t>
      </w:r>
      <w:r>
        <w:t xml:space="preserve"> die</w:t>
      </w:r>
      <w:r w:rsidR="00FE7540">
        <w:t>se</w:t>
      </w:r>
      <w:r>
        <w:t xml:space="preserve"> </w:t>
      </w:r>
      <w:r w:rsidR="00FE7540">
        <w:t>Entwicklung</w:t>
      </w:r>
      <w:r>
        <w:t xml:space="preserve"> fatal</w:t>
      </w:r>
      <w:r w:rsidR="001A64DC">
        <w:t>.</w:t>
      </w:r>
      <w:r>
        <w:t xml:space="preserve"> </w:t>
      </w:r>
      <w:r w:rsidR="00E64C33">
        <w:t xml:space="preserve">Die Folge </w:t>
      </w:r>
      <w:r w:rsidR="00F1372B">
        <w:t xml:space="preserve">des Scheiterns der Bemühungen um die Bildung einer deutschen „Volksfront“ </w:t>
      </w:r>
      <w:r w:rsidR="00E64C33">
        <w:t xml:space="preserve">war ein kaum zu ermessender Verlust an Glaubwürdigkeit – sowohl nach innen, </w:t>
      </w:r>
      <w:r w:rsidR="003E25F2">
        <w:t>vor allem</w:t>
      </w:r>
      <w:r w:rsidR="00E64C33">
        <w:t xml:space="preserve"> gegenüber der jüdischen</w:t>
      </w:r>
      <w:r w:rsidR="003E25F2">
        <w:t xml:space="preserve">, </w:t>
      </w:r>
      <w:r w:rsidR="00FB14F9">
        <w:t xml:space="preserve">der </w:t>
      </w:r>
      <w:r w:rsidR="003E25F2">
        <w:t>vermeintlich „unpolitischen“</w:t>
      </w:r>
      <w:r w:rsidR="00E64C33">
        <w:t xml:space="preserve"> Emigration, als auch nach außen, also gegenüber den Regierungen und befreundeten Parteien der westeuropäischen Staaten. </w:t>
      </w:r>
      <w:r w:rsidR="00650CCB">
        <w:t>Das galt auch für die SPD (</w:t>
      </w:r>
      <w:proofErr w:type="spellStart"/>
      <w:r w:rsidR="00650CCB">
        <w:t>Sopade</w:t>
      </w:r>
      <w:proofErr w:type="spellEnd"/>
      <w:r w:rsidR="00650CCB">
        <w:t>), die sich an den Volk</w:t>
      </w:r>
      <w:r w:rsidR="00650CCB">
        <w:t>s</w:t>
      </w:r>
      <w:r w:rsidR="00650CCB">
        <w:t>front-Verhandlungen nicht beteiligt hatte.</w:t>
      </w:r>
      <w:r w:rsidR="00650CCB">
        <w:rPr>
          <w:rStyle w:val="Funotenzeichen"/>
        </w:rPr>
        <w:footnoteReference w:id="32"/>
      </w:r>
      <w:r w:rsidR="00650CCB">
        <w:t xml:space="preserve"> </w:t>
      </w:r>
      <w:r w:rsidR="00FB14F9">
        <w:t>Die Vertreter des politischen Exils hatten sich als eine Ansammlung von Dilettanten, Illusionisten und verstiegenen Ideologen erwiesen – ohne Gespür für die Realität und beherrscht von Wunschdenken</w:t>
      </w:r>
      <w:r w:rsidR="00E76DFF">
        <w:t xml:space="preserve"> bzw. von parteipolitischer Taktik</w:t>
      </w:r>
      <w:r w:rsidR="00FB14F9">
        <w:t xml:space="preserve">. </w:t>
      </w:r>
      <w:r w:rsidR="00E64C33">
        <w:t xml:space="preserve">Es bestand von jetzt an kaum noch </w:t>
      </w:r>
      <w:r w:rsidR="003E25F2">
        <w:t>di</w:t>
      </w:r>
      <w:r w:rsidR="00E64C33">
        <w:t xml:space="preserve">e Möglichkeit, die internationale Öffentlichkeit auf die Belange, die Not und Bedrängnis der Hitler-Flüchtlinge aufmerksam zu machen. Das </w:t>
      </w:r>
      <w:r w:rsidR="003E25F2">
        <w:t>pol</w:t>
      </w:r>
      <w:r w:rsidR="003E25F2">
        <w:t>i</w:t>
      </w:r>
      <w:r w:rsidR="003E25F2">
        <w:t xml:space="preserve">tisch-publizistische </w:t>
      </w:r>
      <w:r w:rsidR="00E64C33">
        <w:t>Kapital</w:t>
      </w:r>
      <w:r w:rsidR="003E25F2">
        <w:t xml:space="preserve"> des Exils: </w:t>
      </w:r>
      <w:r w:rsidR="00E64C33">
        <w:t>das Renommee von Schriftstellern wie Heinrich Mann, Lion Feuchtwanger, Ernst Toller, Stefan Zweig und andere</w:t>
      </w:r>
      <w:r w:rsidR="00FB14F9">
        <w:t>n</w:t>
      </w:r>
      <w:r w:rsidR="003E25F2">
        <w:t xml:space="preserve">, </w:t>
      </w:r>
      <w:r w:rsidR="00E64C33">
        <w:t xml:space="preserve">das in der Anfangsphase </w:t>
      </w:r>
      <w:r w:rsidR="003E25F2">
        <w:t>des Exils als</w:t>
      </w:r>
      <w:r w:rsidR="00E64C33">
        <w:t xml:space="preserve"> Instrument ge</w:t>
      </w:r>
      <w:r w:rsidR="003E25F2">
        <w:t>dient hatte</w:t>
      </w:r>
      <w:r w:rsidR="00E64C33">
        <w:t xml:space="preserve">, um die Aufmerksamkeit </w:t>
      </w:r>
      <w:r w:rsidR="003E25F2">
        <w:t xml:space="preserve">der </w:t>
      </w:r>
      <w:r w:rsidR="00E64C33">
        <w:t>internationale</w:t>
      </w:r>
      <w:r w:rsidR="003E25F2">
        <w:t>n</w:t>
      </w:r>
      <w:r w:rsidR="00E64C33">
        <w:t xml:space="preserve"> Öffentlichkeit auf </w:t>
      </w:r>
      <w:r w:rsidR="003E25F2">
        <w:t xml:space="preserve">die Diktatur, den </w:t>
      </w:r>
      <w:r w:rsidR="00E64C33">
        <w:t xml:space="preserve">Terror und </w:t>
      </w:r>
      <w:r w:rsidR="003E25F2">
        <w:t xml:space="preserve">die </w:t>
      </w:r>
      <w:r w:rsidR="00E64C33">
        <w:t xml:space="preserve">rassenideologische Verfolgung zu lenken, war </w:t>
      </w:r>
      <w:r w:rsidR="003E25F2">
        <w:t>durch i</w:t>
      </w:r>
      <w:r w:rsidR="003E25F2">
        <w:t>n</w:t>
      </w:r>
      <w:r w:rsidR="003E25F2">
        <w:t xml:space="preserve">terne Konflikte und dilettantisches politisches Agieren </w:t>
      </w:r>
      <w:r w:rsidR="00E64C33">
        <w:t>verspielt</w:t>
      </w:r>
      <w:r w:rsidR="003E25F2">
        <w:t xml:space="preserve"> worden</w:t>
      </w:r>
      <w:r w:rsidR="00E64C33">
        <w:t xml:space="preserve">. </w:t>
      </w:r>
      <w:r w:rsidR="00FB14F9">
        <w:t xml:space="preserve">Statt </w:t>
      </w:r>
      <w:r w:rsidR="00FB14F9" w:rsidRPr="00281F4F">
        <w:rPr>
          <w:i/>
        </w:rPr>
        <w:t xml:space="preserve">vor </w:t>
      </w:r>
      <w:r w:rsidR="00FB14F9" w:rsidRPr="00366D8C">
        <w:rPr>
          <w:i/>
        </w:rPr>
        <w:t xml:space="preserve">Beginn </w:t>
      </w:r>
      <w:r w:rsidR="00FB14F9" w:rsidRPr="00366D8C">
        <w:t xml:space="preserve">der </w:t>
      </w:r>
      <w:r w:rsidR="00FB14F9">
        <w:t>öffentlichen Aktionen in vertraulichen Verhandlungen zu klären, ob überhaupt die Möglic</w:t>
      </w:r>
      <w:r w:rsidR="00FB14F9">
        <w:t>h</w:t>
      </w:r>
      <w:r w:rsidR="00FB14F9">
        <w:t xml:space="preserve">keit eines Zusammengehens der wichtigsten politischen Parteien </w:t>
      </w:r>
      <w:r w:rsidR="00AE34B7">
        <w:t xml:space="preserve">gegeben war und ob eine hinreichend breite Basis für ein solches Zusammengehen auch bei der Mehrheit des Exils vorhanden war, also bei der jüdischen Emigration, die rd. 90 % der Gesamtemigration stellte, war man </w:t>
      </w:r>
      <w:r w:rsidR="00AE34B7" w:rsidRPr="00F1372B">
        <w:rPr>
          <w:i/>
        </w:rPr>
        <w:t>zuerst</w:t>
      </w:r>
      <w:r w:rsidR="00AE34B7">
        <w:t xml:space="preserve"> an die Öffentlichkeit gegangen. Dabei hätte es sorgfältiger Vorklärungen b</w:t>
      </w:r>
      <w:r w:rsidR="00AE34B7">
        <w:t>e</w:t>
      </w:r>
      <w:r w:rsidR="00AE34B7">
        <w:t>durft</w:t>
      </w:r>
      <w:r w:rsidR="00281F4F">
        <w:t xml:space="preserve">, um das Risiko eines Scheiterns zu begrenzen. </w:t>
      </w:r>
      <w:r w:rsidR="00474C0F">
        <w:t>J</w:t>
      </w:r>
      <w:r w:rsidR="00E76DFF">
        <w:t>edermann</w:t>
      </w:r>
      <w:r w:rsidR="00474C0F" w:rsidRPr="00474C0F">
        <w:t xml:space="preserve"> </w:t>
      </w:r>
      <w:r w:rsidR="00474C0F">
        <w:t>wusste</w:t>
      </w:r>
      <w:r w:rsidR="00E76DFF">
        <w:t xml:space="preserve">, welche grundlegenden Konflikte das politische Leben der Weimarer Republik beherrscht und die Demokratie zum Scheitern gebracht hatten. Diese Konflikte waren unterschwellig neu aufgebrochen. </w:t>
      </w:r>
      <w:r w:rsidR="004460CE">
        <w:t>Demor</w:t>
      </w:r>
      <w:r w:rsidR="004460CE">
        <w:t>a</w:t>
      </w:r>
      <w:r w:rsidR="004460CE">
        <w:t xml:space="preserve">lisierung und Misstrauen sind fortan die alles beherrschenden Momente. </w:t>
      </w:r>
    </w:p>
    <w:p w:rsidR="00AE34B7" w:rsidRDefault="00E76DFF" w:rsidP="00E64C33">
      <w:pPr>
        <w:spacing w:after="0"/>
        <w:ind w:firstLine="708"/>
        <w:jc w:val="both"/>
      </w:pPr>
      <w:r>
        <w:t>D</w:t>
      </w:r>
      <w:r w:rsidR="00F1372B">
        <w:t>as Scheitern der „Volksfront“</w:t>
      </w:r>
      <w:r>
        <w:t xml:space="preserve"> wurde zu einem Gutteil </w:t>
      </w:r>
      <w:r w:rsidR="004460CE">
        <w:t xml:space="preserve">aber auch </w:t>
      </w:r>
      <w:r>
        <w:t>durch äußere Ei</w:t>
      </w:r>
      <w:r>
        <w:t>n</w:t>
      </w:r>
      <w:r>
        <w:t xml:space="preserve">flüsse </w:t>
      </w:r>
      <w:r w:rsidR="004460CE">
        <w:t>bewirk</w:t>
      </w:r>
      <w:r>
        <w:t>t: durch die Moskauer Prozesse und die „Säuberungen“, durch die Krise der Volksfrontpolitik in Frankreich</w:t>
      </w:r>
      <w:r w:rsidR="004460CE">
        <w:t xml:space="preserve"> und</w:t>
      </w:r>
      <w:r>
        <w:t xml:space="preserve"> durch die Nicht-Interventionspolitik der Demokratien gegenüber der Spanischen Republik</w:t>
      </w:r>
      <w:r w:rsidR="004460CE">
        <w:t xml:space="preserve">. </w:t>
      </w:r>
      <w:r>
        <w:t>Verantwortungsbewusst handelnde Politiker hätten diese Gefahren erkennen</w:t>
      </w:r>
      <w:r w:rsidR="004460CE">
        <w:t xml:space="preserve"> und ihr Handeln darauf abstellen müssen.</w:t>
      </w:r>
      <w:r>
        <w:t xml:space="preserve"> </w:t>
      </w:r>
      <w:r w:rsidR="004460CE">
        <w:t>Vor allem hätte man sich die Frage stellen müssen, ob die „bolschewistische“, also die von Moskau abhängige KPD übe</w:t>
      </w:r>
      <w:r w:rsidR="004460CE">
        <w:t>r</w:t>
      </w:r>
      <w:r w:rsidR="004460CE">
        <w:t xml:space="preserve">haupt </w:t>
      </w:r>
      <w:r w:rsidR="006E7E38">
        <w:t>bereit</w:t>
      </w:r>
      <w:r w:rsidR="004460CE">
        <w:t xml:space="preserve"> war, „Volksfront“-Verhandlungen </w:t>
      </w:r>
      <w:r w:rsidR="006E7E38">
        <w:t>zu führen, also</w:t>
      </w:r>
      <w:r w:rsidR="006E7E38" w:rsidRPr="006E7E38">
        <w:t xml:space="preserve"> </w:t>
      </w:r>
      <w:r w:rsidR="006E7E38">
        <w:t xml:space="preserve">offen alle Fragen einer </w:t>
      </w:r>
      <w:r w:rsidR="006E7E38" w:rsidRPr="006E7E38">
        <w:rPr>
          <w:i/>
        </w:rPr>
        <w:t>dem</w:t>
      </w:r>
      <w:r w:rsidR="006E7E38" w:rsidRPr="006E7E38">
        <w:rPr>
          <w:i/>
        </w:rPr>
        <w:t>o</w:t>
      </w:r>
      <w:r w:rsidR="006E7E38" w:rsidRPr="006E7E38">
        <w:rPr>
          <w:i/>
        </w:rPr>
        <w:t xml:space="preserve">kratischen </w:t>
      </w:r>
      <w:r w:rsidR="006E7E38">
        <w:t xml:space="preserve">Gesellschaftsordnung zu diskutieren. Diese Probleme wurden jedoch nicht einmal im Ansatz berührt. </w:t>
      </w:r>
    </w:p>
    <w:p w:rsidR="006E7E38" w:rsidRDefault="006E7E38" w:rsidP="00E64C33">
      <w:pPr>
        <w:spacing w:after="0"/>
        <w:ind w:firstLine="708"/>
        <w:jc w:val="both"/>
      </w:pPr>
      <w:r>
        <w:t>Vom Scheitern der Volksfront war letzten Endes auch die Exilliteratur betroffen. Ohne die Unterstützung durch das Schriftstellerexil wäre das Parteienexil eine historische Margin</w:t>
      </w:r>
      <w:r>
        <w:t>a</w:t>
      </w:r>
      <w:r>
        <w:t xml:space="preserve">lie gewesen. Da das Parteienexil in einer kritischen Situation der europäischen politischen </w:t>
      </w:r>
      <w:r>
        <w:lastRenderedPageBreak/>
        <w:t>Entwicklung eklatant versagt hatte, verlor auch das Schriftstellerexil</w:t>
      </w:r>
      <w:r w:rsidR="00B57E9C">
        <w:t xml:space="preserve"> an Reputation. Damit aber wurde auch die Exilliteratur in den Augen der nachfolgenden Generation in eine Ran</w:t>
      </w:r>
      <w:r w:rsidR="00B57E9C">
        <w:t>d</w:t>
      </w:r>
      <w:r w:rsidR="00B57E9C">
        <w:t>position gedrängt.</w:t>
      </w:r>
    </w:p>
    <w:sectPr w:rsidR="006E7E3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04" w:rsidRDefault="00980704" w:rsidP="00AC3A59">
      <w:pPr>
        <w:spacing w:after="0" w:line="240" w:lineRule="auto"/>
      </w:pPr>
      <w:r>
        <w:separator/>
      </w:r>
    </w:p>
  </w:endnote>
  <w:endnote w:type="continuationSeparator" w:id="0">
    <w:p w:rsidR="00980704" w:rsidRDefault="00980704" w:rsidP="00AC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04" w:rsidRDefault="00980704" w:rsidP="00AC3A59">
      <w:pPr>
        <w:spacing w:after="0" w:line="240" w:lineRule="auto"/>
      </w:pPr>
      <w:r>
        <w:separator/>
      </w:r>
    </w:p>
  </w:footnote>
  <w:footnote w:type="continuationSeparator" w:id="0">
    <w:p w:rsidR="00980704" w:rsidRDefault="00980704" w:rsidP="00AC3A59">
      <w:pPr>
        <w:spacing w:after="0" w:line="240" w:lineRule="auto"/>
      </w:pPr>
      <w:r>
        <w:continuationSeparator/>
      </w:r>
    </w:p>
  </w:footnote>
  <w:footnote w:id="1">
    <w:p w:rsidR="00FB14F9" w:rsidRDefault="00FB14F9" w:rsidP="000573C6">
      <w:pPr>
        <w:spacing w:after="0" w:line="240" w:lineRule="auto"/>
        <w:jc w:val="both"/>
      </w:pPr>
      <w:r>
        <w:rPr>
          <w:rStyle w:val="Funotenzeichen"/>
        </w:rPr>
        <w:footnoteRef/>
      </w:r>
      <w:r>
        <w:t xml:space="preserve"> </w:t>
      </w:r>
      <w:r>
        <w:rPr>
          <w:sz w:val="20"/>
          <w:szCs w:val="20"/>
        </w:rPr>
        <w:t xml:space="preserve">Leopold Schwarzschild: Aufforderung zum Risiko. In: </w:t>
      </w:r>
      <w:r>
        <w:rPr>
          <w:i/>
          <w:sz w:val="20"/>
          <w:szCs w:val="20"/>
        </w:rPr>
        <w:t>Das Neue Tage-Buch</w:t>
      </w:r>
      <w:r>
        <w:rPr>
          <w:sz w:val="20"/>
          <w:szCs w:val="20"/>
        </w:rPr>
        <w:t>, Jg. 3 (1935), H. 9 (2. März 1935), S. 202 – 205. – Zitiert nach Loewy, Bd. 1, S. 385 ff.</w:t>
      </w:r>
    </w:p>
  </w:footnote>
  <w:footnote w:id="2">
    <w:p w:rsidR="00FB14F9" w:rsidRDefault="00FB14F9">
      <w:pPr>
        <w:pStyle w:val="Funotentext"/>
      </w:pPr>
      <w:r>
        <w:rPr>
          <w:rStyle w:val="Funotenzeichen"/>
        </w:rPr>
        <w:footnoteRef/>
      </w:r>
      <w:r>
        <w:t xml:space="preserve"> Schwarzschild: Aufforderung, S. 385.</w:t>
      </w:r>
    </w:p>
  </w:footnote>
  <w:footnote w:id="3">
    <w:p w:rsidR="00FB14F9" w:rsidRDefault="00FB14F9">
      <w:pPr>
        <w:pStyle w:val="Funotentext"/>
      </w:pPr>
      <w:r>
        <w:rPr>
          <w:rStyle w:val="Funotenzeichen"/>
        </w:rPr>
        <w:footnoteRef/>
      </w:r>
      <w:r>
        <w:t xml:space="preserve"> Ebd., S. 387.</w:t>
      </w:r>
    </w:p>
  </w:footnote>
  <w:footnote w:id="4">
    <w:p w:rsidR="00FB14F9" w:rsidRDefault="00FB14F9">
      <w:pPr>
        <w:pStyle w:val="Funotentext"/>
      </w:pPr>
      <w:r>
        <w:rPr>
          <w:rStyle w:val="Funotenzeichen"/>
        </w:rPr>
        <w:footnoteRef/>
      </w:r>
      <w:r>
        <w:t xml:space="preserve"> Ebd.</w:t>
      </w:r>
    </w:p>
  </w:footnote>
  <w:footnote w:id="5">
    <w:p w:rsidR="00FB14F9" w:rsidRDefault="00FB14F9">
      <w:pPr>
        <w:pStyle w:val="Funotentext"/>
      </w:pPr>
      <w:r>
        <w:rPr>
          <w:rStyle w:val="Funotenzeichen"/>
        </w:rPr>
        <w:footnoteRef/>
      </w:r>
      <w:r>
        <w:t xml:space="preserve"> S. 388.</w:t>
      </w:r>
    </w:p>
  </w:footnote>
  <w:footnote w:id="6">
    <w:p w:rsidR="00FB14F9" w:rsidRDefault="00FB14F9" w:rsidP="00BD5634">
      <w:pPr>
        <w:pStyle w:val="Funotentext"/>
      </w:pPr>
      <w:r>
        <w:rPr>
          <w:rStyle w:val="Funotenzeichen"/>
        </w:rPr>
        <w:footnoteRef/>
      </w:r>
      <w:r>
        <w:t xml:space="preserve"> Zitat bei Ludolf Herbst: </w:t>
      </w:r>
      <w:r>
        <w:rPr>
          <w:i/>
        </w:rPr>
        <w:t>Das nationalsozialistische Deutschland</w:t>
      </w:r>
      <w:r>
        <w:t>, S. 139.</w:t>
      </w:r>
    </w:p>
  </w:footnote>
  <w:footnote w:id="7">
    <w:p w:rsidR="00FB14F9" w:rsidRPr="006B1F14" w:rsidRDefault="00FB14F9" w:rsidP="00CC0FC7">
      <w:pPr>
        <w:pStyle w:val="Funotentext"/>
        <w:rPr>
          <w:lang w:val="en-US"/>
        </w:rPr>
      </w:pPr>
      <w:r>
        <w:rPr>
          <w:rStyle w:val="Funotenzeichen"/>
        </w:rPr>
        <w:footnoteRef/>
      </w:r>
      <w:r w:rsidRPr="006B1F14">
        <w:rPr>
          <w:lang w:val="en-US"/>
        </w:rPr>
        <w:t xml:space="preserve"> </w:t>
      </w:r>
      <w:proofErr w:type="spellStart"/>
      <w:r w:rsidRPr="006B1F14">
        <w:rPr>
          <w:lang w:val="en-US"/>
        </w:rPr>
        <w:t>Ludolf</w:t>
      </w:r>
      <w:proofErr w:type="spellEnd"/>
      <w:r w:rsidRPr="006B1F14">
        <w:rPr>
          <w:lang w:val="en-US"/>
        </w:rPr>
        <w:t xml:space="preserve"> </w:t>
      </w:r>
      <w:proofErr w:type="spellStart"/>
      <w:r w:rsidRPr="006B1F14">
        <w:rPr>
          <w:lang w:val="en-US"/>
        </w:rPr>
        <w:t>Herbst</w:t>
      </w:r>
      <w:proofErr w:type="spellEnd"/>
      <w:r w:rsidRPr="006B1F14">
        <w:rPr>
          <w:lang w:val="en-US"/>
        </w:rPr>
        <w:t xml:space="preserve">, </w:t>
      </w:r>
      <w:proofErr w:type="spellStart"/>
      <w:r w:rsidRPr="006B1F14">
        <w:rPr>
          <w:lang w:val="en-US"/>
        </w:rPr>
        <w:t>a.a.O</w:t>
      </w:r>
      <w:proofErr w:type="spellEnd"/>
      <w:r w:rsidRPr="006B1F14">
        <w:rPr>
          <w:lang w:val="en-US"/>
        </w:rPr>
        <w:t>.,</w:t>
      </w:r>
      <w:r>
        <w:rPr>
          <w:lang w:val="en-US"/>
        </w:rPr>
        <w:t xml:space="preserve"> S. 143,</w:t>
      </w:r>
    </w:p>
  </w:footnote>
  <w:footnote w:id="8">
    <w:p w:rsidR="00FB14F9" w:rsidRDefault="00FB14F9" w:rsidP="003B3D27">
      <w:pPr>
        <w:pStyle w:val="Funotentext"/>
        <w:jc w:val="both"/>
      </w:pPr>
      <w:r>
        <w:rPr>
          <w:rStyle w:val="Funotenzeichen"/>
        </w:rPr>
        <w:footnoteRef/>
      </w:r>
      <w:r>
        <w:t xml:space="preserve"> S. 147 f.</w:t>
      </w:r>
    </w:p>
  </w:footnote>
  <w:footnote w:id="9">
    <w:p w:rsidR="00FB14F9" w:rsidRDefault="00FB14F9" w:rsidP="003B3D27">
      <w:pPr>
        <w:pStyle w:val="Funotentext"/>
        <w:jc w:val="both"/>
      </w:pPr>
      <w:r>
        <w:rPr>
          <w:rStyle w:val="Funotenzeichen"/>
        </w:rPr>
        <w:footnoteRef/>
      </w:r>
      <w:r>
        <w:t xml:space="preserve"> Zu diesen thematischen Komplexen vgl. Kap. 10.</w:t>
      </w:r>
    </w:p>
  </w:footnote>
  <w:footnote w:id="10">
    <w:p w:rsidR="00FB14F9" w:rsidRDefault="00FB14F9" w:rsidP="003B3D27">
      <w:pPr>
        <w:pStyle w:val="Funotentext"/>
        <w:jc w:val="both"/>
      </w:pPr>
      <w:r>
        <w:rPr>
          <w:rStyle w:val="Funotenzeichen"/>
        </w:rPr>
        <w:footnoteRef/>
      </w:r>
      <w:r>
        <w:t xml:space="preserve"> So sieht es Michael Rohrwasser: „Die Reaktionen auf die Schauprozesse – und nicht erst der Hitler-Stalin-Pakt – leiteten das Ende des Mythos von einer einheitlichen antifaschistischen Linken ein. Eine Polarisierung fand statt, die Züge eines Intellektuellen-Krieges zwischen den Kritikern und den Befürwortern annahm“ (M</w:t>
      </w:r>
      <w:r>
        <w:t>i</w:t>
      </w:r>
      <w:r>
        <w:t xml:space="preserve">chael Rohrwasser: </w:t>
      </w:r>
      <w:r w:rsidRPr="009F42B5">
        <w:rPr>
          <w:i/>
        </w:rPr>
        <w:t>Der Stalinismus und die Renegaten</w:t>
      </w:r>
      <w:r>
        <w:t xml:space="preserve">. Die Literatur der </w:t>
      </w:r>
      <w:proofErr w:type="spellStart"/>
      <w:r>
        <w:t>Exkommunisten</w:t>
      </w:r>
      <w:proofErr w:type="spellEnd"/>
      <w:r>
        <w:t>. Stuttgart 1991, S. 141).</w:t>
      </w:r>
    </w:p>
  </w:footnote>
  <w:footnote w:id="11">
    <w:p w:rsidR="00FB14F9" w:rsidRDefault="00FB14F9" w:rsidP="003B3D27">
      <w:pPr>
        <w:pStyle w:val="Funotentext"/>
        <w:jc w:val="both"/>
      </w:pPr>
      <w:r>
        <w:rPr>
          <w:rStyle w:val="Funotenzeichen"/>
        </w:rPr>
        <w:footnoteRef/>
      </w:r>
      <w:r>
        <w:t xml:space="preserve"> </w:t>
      </w:r>
      <w:r w:rsidRPr="008A25F6">
        <w:t>Das</w:t>
      </w:r>
      <w:r>
        <w:t xml:space="preserve"> Urteil von Ursula Langkau-Alex über die Entwicklung ist eindeutig:</w:t>
      </w:r>
      <w:r w:rsidRPr="008A25F6">
        <w:t xml:space="preserve"> „</w:t>
      </w:r>
      <w:r w:rsidRPr="009A08A0">
        <w:t xml:space="preserve">Bereits im Frühjahr 1937 endete die Zusammenarbeit der ‚Vertreter der Arbeiterparteien im </w:t>
      </w:r>
      <w:proofErr w:type="spellStart"/>
      <w:r w:rsidRPr="009A08A0">
        <w:t>Volkfrontausschuß</w:t>
      </w:r>
      <w:proofErr w:type="spellEnd"/>
      <w:r>
        <w:t>‘</w:t>
      </w:r>
      <w:r w:rsidRPr="009A08A0">
        <w:t xml:space="preserve"> in Paris.“ (</w:t>
      </w:r>
      <w:r>
        <w:t xml:space="preserve">Ursula </w:t>
      </w:r>
      <w:r w:rsidRPr="009A08A0">
        <w:t>Langkau</w:t>
      </w:r>
      <w:r>
        <w:t xml:space="preserve">- Alex: Volksfront für Deutschland. – In: </w:t>
      </w:r>
      <w:r w:rsidRPr="008A25F6">
        <w:rPr>
          <w:i/>
        </w:rPr>
        <w:t>Handbuch der deutschsprachigen Emigration 1933 – 1945</w:t>
      </w:r>
      <w:r>
        <w:t xml:space="preserve">. Darmstadt 1998, </w:t>
      </w:r>
      <w:proofErr w:type="spellStart"/>
      <w:r w:rsidRPr="009A08A0">
        <w:t>Sp</w:t>
      </w:r>
      <w:proofErr w:type="spellEnd"/>
      <w:r w:rsidRPr="009A08A0">
        <w:t>. 602)</w:t>
      </w:r>
      <w:r>
        <w:t>. Der</w:t>
      </w:r>
      <w:r w:rsidRPr="009A08A0">
        <w:t xml:space="preserve"> Volksfrontausschuss</w:t>
      </w:r>
      <w:r>
        <w:t xml:space="preserve"> ist</w:t>
      </w:r>
      <w:r w:rsidRPr="009A08A0">
        <w:t xml:space="preserve"> im</w:t>
      </w:r>
      <w:r>
        <w:t xml:space="preserve"> </w:t>
      </w:r>
      <w:r w:rsidRPr="009A08A0">
        <w:t>Herbst 1937 praktisch lahmgelegt (Langkau</w:t>
      </w:r>
      <w:r>
        <w:t>, a.a.O.,</w:t>
      </w:r>
      <w:r w:rsidRPr="009A08A0">
        <w:t xml:space="preserve"> </w:t>
      </w:r>
      <w:proofErr w:type="spellStart"/>
      <w:r w:rsidRPr="009A08A0">
        <w:t>Sp</w:t>
      </w:r>
      <w:proofErr w:type="spellEnd"/>
      <w:r w:rsidRPr="009A08A0">
        <w:t>. 601).</w:t>
      </w:r>
      <w:r>
        <w:t xml:space="preserve"> – Äh</w:t>
      </w:r>
      <w:r>
        <w:t>n</w:t>
      </w:r>
      <w:r>
        <w:t>lich urteilt auch Dieter Schiller: „Die Vorgänge in Moskau stürzten die mühsam erarbeiteten Grundlagen einer – ursprünglich ja von der Kommunistischen Internationale initiierten – Volksfrontbewegung in eine tiefe Glau</w:t>
      </w:r>
      <w:r>
        <w:t>b</w:t>
      </w:r>
      <w:r>
        <w:t xml:space="preserve">würdigkeitskrise“ (Dieter Schiller: Die „Volksfront-Sache“ – „moralisch zerstört?“ Aus dem redaktionellen Briefwechsel von Leopold Schwarzschilds </w:t>
      </w:r>
      <w:r>
        <w:rPr>
          <w:i/>
        </w:rPr>
        <w:t xml:space="preserve">Neuem Tage-Buch </w:t>
      </w:r>
      <w:r>
        <w:t xml:space="preserve">1937. In: </w:t>
      </w:r>
      <w:r>
        <w:rPr>
          <w:i/>
        </w:rPr>
        <w:t xml:space="preserve">Exilforschung </w:t>
      </w:r>
      <w:r>
        <w:t xml:space="preserve">22 (2004), S. 248 – 259, hier S. 250). </w:t>
      </w:r>
    </w:p>
  </w:footnote>
  <w:footnote w:id="12">
    <w:p w:rsidR="00FB14F9" w:rsidRDefault="00FB14F9" w:rsidP="00BB0802">
      <w:pPr>
        <w:spacing w:after="0" w:line="240" w:lineRule="auto"/>
        <w:jc w:val="both"/>
      </w:pPr>
      <w:r>
        <w:rPr>
          <w:rStyle w:val="Funotenzeichen"/>
        </w:rPr>
        <w:footnoteRef/>
      </w:r>
      <w:r>
        <w:t xml:space="preserve"> </w:t>
      </w:r>
      <w:r w:rsidRPr="002E5D4B">
        <w:rPr>
          <w:sz w:val="20"/>
          <w:szCs w:val="20"/>
        </w:rPr>
        <w:t xml:space="preserve">Reinhard Müller: Drei Briefe Hans Sahls an Willi Schlamm. – In: </w:t>
      </w:r>
      <w:r w:rsidRPr="002E5D4B">
        <w:rPr>
          <w:i/>
          <w:sz w:val="20"/>
          <w:szCs w:val="20"/>
        </w:rPr>
        <w:t xml:space="preserve">Exil </w:t>
      </w:r>
      <w:r w:rsidRPr="002E5D4B">
        <w:rPr>
          <w:sz w:val="20"/>
          <w:szCs w:val="20"/>
        </w:rPr>
        <w:t>23 (3003), H. 1, S. 50 – 61</w:t>
      </w:r>
      <w:r>
        <w:rPr>
          <w:sz w:val="20"/>
          <w:szCs w:val="20"/>
        </w:rPr>
        <w:t>, hier S. 50.</w:t>
      </w:r>
    </w:p>
  </w:footnote>
  <w:footnote w:id="13">
    <w:p w:rsidR="00FB14F9" w:rsidRDefault="00FB14F9" w:rsidP="00BB0802">
      <w:pPr>
        <w:pStyle w:val="Funotentext"/>
        <w:jc w:val="both"/>
      </w:pPr>
      <w:r>
        <w:rPr>
          <w:rStyle w:val="Funotenzeichen"/>
        </w:rPr>
        <w:footnoteRef/>
      </w:r>
      <w:r>
        <w:t xml:space="preserve"> Ebd., </w:t>
      </w:r>
      <w:r w:rsidRPr="00BF5211">
        <w:t>Schreiben vom 14. September 1936</w:t>
      </w:r>
      <w:r>
        <w:t>.</w:t>
      </w:r>
    </w:p>
  </w:footnote>
  <w:footnote w:id="14">
    <w:p w:rsidR="00FB14F9" w:rsidRDefault="00FB14F9" w:rsidP="00BB0802">
      <w:pPr>
        <w:pStyle w:val="Funotentext"/>
        <w:jc w:val="both"/>
      </w:pPr>
      <w:r>
        <w:rPr>
          <w:rStyle w:val="Funotenzeichen"/>
        </w:rPr>
        <w:footnoteRef/>
      </w:r>
      <w:r>
        <w:t xml:space="preserve"> Schwarzschild begründet seinen Austritt in einem Artikel im </w:t>
      </w:r>
      <w:r>
        <w:rPr>
          <w:i/>
        </w:rPr>
        <w:t>Neuen Tage-Buch,</w:t>
      </w:r>
      <w:r>
        <w:t xml:space="preserve"> Jg.4, H. 52 vom 26. Deze</w:t>
      </w:r>
      <w:r>
        <w:t>m</w:t>
      </w:r>
      <w:r>
        <w:t>ber 1936, S. 1231 f.</w:t>
      </w:r>
    </w:p>
  </w:footnote>
  <w:footnote w:id="15">
    <w:p w:rsidR="00FB14F9" w:rsidRPr="000F188B" w:rsidRDefault="00FB14F9" w:rsidP="00BB0802">
      <w:pPr>
        <w:pStyle w:val="Funotentext"/>
        <w:jc w:val="both"/>
      </w:pPr>
      <w:r>
        <w:rPr>
          <w:rStyle w:val="Funotenzeichen"/>
        </w:rPr>
        <w:footnoteRef/>
      </w:r>
      <w:r>
        <w:t xml:space="preserve"> Reinhard Müller: Bericht des Komintern-Emissärs </w:t>
      </w:r>
      <w:proofErr w:type="spellStart"/>
      <w:r>
        <w:t>Bohumir</w:t>
      </w:r>
      <w:proofErr w:type="spellEnd"/>
      <w:r>
        <w:t xml:space="preserve"> </w:t>
      </w:r>
      <w:proofErr w:type="spellStart"/>
      <w:r>
        <w:t>Šmeral</w:t>
      </w:r>
      <w:proofErr w:type="spellEnd"/>
      <w:r>
        <w:t xml:space="preserve"> über seinen Pariser Aufenthalt 1937 (D</w:t>
      </w:r>
      <w:r>
        <w:t>o</w:t>
      </w:r>
      <w:r>
        <w:t xml:space="preserve">kument). – In: </w:t>
      </w:r>
      <w:r>
        <w:rPr>
          <w:i/>
        </w:rPr>
        <w:t xml:space="preserve">Exilforschung </w:t>
      </w:r>
      <w:r>
        <w:t>9 (1991), S. 236 – 261.</w:t>
      </w:r>
    </w:p>
  </w:footnote>
  <w:footnote w:id="16">
    <w:p w:rsidR="00FB14F9" w:rsidRDefault="00FB14F9" w:rsidP="00BB0802">
      <w:pPr>
        <w:pStyle w:val="Funotentext"/>
        <w:jc w:val="both"/>
      </w:pPr>
      <w:r>
        <w:rPr>
          <w:rStyle w:val="Funotenzeichen"/>
        </w:rPr>
        <w:footnoteRef/>
      </w:r>
      <w:r>
        <w:t xml:space="preserve"> Müller: </w:t>
      </w:r>
      <w:proofErr w:type="spellStart"/>
      <w:r>
        <w:t>Šmeral</w:t>
      </w:r>
      <w:proofErr w:type="spellEnd"/>
      <w:r>
        <w:t>, S. 240 f.</w:t>
      </w:r>
    </w:p>
  </w:footnote>
  <w:footnote w:id="17">
    <w:p w:rsidR="00FB14F9" w:rsidRDefault="00FB14F9" w:rsidP="00BB0802">
      <w:pPr>
        <w:pStyle w:val="Funotentext"/>
        <w:jc w:val="both"/>
      </w:pPr>
      <w:r>
        <w:rPr>
          <w:rStyle w:val="Funotenzeichen"/>
        </w:rPr>
        <w:footnoteRef/>
      </w:r>
      <w:r>
        <w:t xml:space="preserve"> Breitscheid war nicht als offizieller Vertreter der SPD Mitglied im Volksfrontausschuss – der Parteivorstand der SOPDE weigerte sich vielmehr, sich an den Volksfront-Verhandlungen zu beteiligen –, sondern als Priva</w:t>
      </w:r>
      <w:r>
        <w:t>t</w:t>
      </w:r>
      <w:r>
        <w:t>person.</w:t>
      </w:r>
    </w:p>
  </w:footnote>
  <w:footnote w:id="18">
    <w:p w:rsidR="00FB14F9" w:rsidRDefault="00FB14F9">
      <w:pPr>
        <w:pStyle w:val="Funotentext"/>
      </w:pPr>
      <w:r>
        <w:rPr>
          <w:rStyle w:val="Funotenzeichen"/>
        </w:rPr>
        <w:footnoteRef/>
      </w:r>
      <w:r>
        <w:t xml:space="preserve"> Ebd., S. 241.</w:t>
      </w:r>
    </w:p>
  </w:footnote>
  <w:footnote w:id="19">
    <w:p w:rsidR="00FB14F9" w:rsidRDefault="00FB14F9" w:rsidP="002A6E07">
      <w:pPr>
        <w:pStyle w:val="Funotentext"/>
        <w:jc w:val="both"/>
      </w:pPr>
      <w:r>
        <w:rPr>
          <w:rStyle w:val="Funotenzeichen"/>
        </w:rPr>
        <w:footnoteRef/>
      </w:r>
      <w:r>
        <w:t xml:space="preserve"> Ebd., S. 254.</w:t>
      </w:r>
    </w:p>
  </w:footnote>
  <w:footnote w:id="20">
    <w:p w:rsidR="00FB14F9" w:rsidRPr="004D2443" w:rsidRDefault="00FB14F9" w:rsidP="004D2443">
      <w:pPr>
        <w:pStyle w:val="Funotentext"/>
        <w:jc w:val="both"/>
      </w:pPr>
      <w:r>
        <w:rPr>
          <w:rStyle w:val="Funotenzeichen"/>
        </w:rPr>
        <w:footnoteRef/>
      </w:r>
      <w:r>
        <w:t xml:space="preserve"> Es sind nicht allein die Moskauer Prozesse, die die Zusammenarbeit bei den </w:t>
      </w:r>
      <w:r>
        <w:rPr>
          <w:i/>
        </w:rPr>
        <w:t xml:space="preserve">Deutschen Informationen </w:t>
      </w:r>
      <w:r>
        <w:t>bela</w:t>
      </w:r>
      <w:r>
        <w:t>s</w:t>
      </w:r>
      <w:r>
        <w:t>ten. In einem Brief an Heinrich Mann</w:t>
      </w:r>
      <w:r w:rsidRPr="004D2443">
        <w:t xml:space="preserve"> </w:t>
      </w:r>
      <w:r>
        <w:t xml:space="preserve">vom 3. Dezember 1937 moniert Rudolf Breitscheid, dass </w:t>
      </w:r>
      <w:proofErr w:type="spellStart"/>
      <w:r>
        <w:t>Dimitroff</w:t>
      </w:r>
      <w:proofErr w:type="spellEnd"/>
      <w:r>
        <w:t xml:space="preserve"> in einem Artikel zum zwanzigjährigen Bestehen der Sowjetunion gefordert habe, „das Bekenntnis zur Demokratie </w:t>
      </w:r>
      <w:proofErr w:type="spellStart"/>
      <w:r>
        <w:t>muesse</w:t>
      </w:r>
      <w:proofErr w:type="spellEnd"/>
      <w:r>
        <w:t xml:space="preserve"> mit dem Bekenntnis zum Stalinismus Hand in Hand gehen“, und in diesem Zusammenhang auch Angri</w:t>
      </w:r>
      <w:r>
        <w:t>f</w:t>
      </w:r>
      <w:r>
        <w:t xml:space="preserve">fe gegen den „Sozialdemokratismus“ formuliert habe. Dies sei der Grund, dass er (Breitscheid) sich von den </w:t>
      </w:r>
      <w:r>
        <w:rPr>
          <w:i/>
        </w:rPr>
        <w:t xml:space="preserve">Deutschen Informationen </w:t>
      </w:r>
      <w:r>
        <w:t xml:space="preserve">trenne. – In: </w:t>
      </w:r>
      <w:r w:rsidRPr="005E43CF">
        <w:rPr>
          <w:bCs/>
          <w:spacing w:val="-3"/>
        </w:rPr>
        <w:t xml:space="preserve">Dirk Kemper: </w:t>
      </w:r>
      <w:r w:rsidRPr="005E43CF">
        <w:rPr>
          <w:bCs/>
          <w:i/>
          <w:spacing w:val="-3"/>
        </w:rPr>
        <w:t xml:space="preserve">Heinrich Mann und Walter Ulbricht: Das Scheitern der Volksfront. </w:t>
      </w:r>
      <w:r w:rsidRPr="005E43CF">
        <w:rPr>
          <w:bCs/>
          <w:spacing w:val="-3"/>
        </w:rPr>
        <w:t>Briefwechsel und Materia</w:t>
      </w:r>
      <w:r w:rsidRPr="004D2443">
        <w:rPr>
          <w:bCs/>
          <w:spacing w:val="-3"/>
        </w:rPr>
        <w:t>lien. 2012, S. 230 f.</w:t>
      </w:r>
    </w:p>
  </w:footnote>
  <w:footnote w:id="21">
    <w:p w:rsidR="00FB14F9" w:rsidRPr="004D2443" w:rsidRDefault="00FB14F9" w:rsidP="004D2443">
      <w:pPr>
        <w:suppressAutoHyphens/>
        <w:spacing w:after="0" w:line="240" w:lineRule="auto"/>
        <w:jc w:val="both"/>
        <w:rPr>
          <w:sz w:val="20"/>
          <w:szCs w:val="20"/>
        </w:rPr>
      </w:pPr>
      <w:r w:rsidRPr="004D2443">
        <w:rPr>
          <w:rStyle w:val="Funotenzeichen"/>
          <w:sz w:val="20"/>
          <w:szCs w:val="20"/>
        </w:rPr>
        <w:footnoteRef/>
      </w:r>
      <w:r w:rsidRPr="004D2443">
        <w:rPr>
          <w:sz w:val="20"/>
          <w:szCs w:val="20"/>
        </w:rPr>
        <w:t xml:space="preserve"> Zum „Fall Münzenberg“ sowie generell zum Scheitern der „Volksfrontverhandlungen“ vgl. </w:t>
      </w:r>
      <w:r w:rsidRPr="004D2443">
        <w:rPr>
          <w:bCs/>
          <w:spacing w:val="-3"/>
          <w:sz w:val="20"/>
          <w:szCs w:val="20"/>
        </w:rPr>
        <w:t>Kemper: ebd.</w:t>
      </w:r>
      <w:r w:rsidRPr="004D2443">
        <w:rPr>
          <w:bCs/>
          <w:i/>
          <w:spacing w:val="-3"/>
          <w:sz w:val="20"/>
          <w:szCs w:val="20"/>
        </w:rPr>
        <w:t>,</w:t>
      </w:r>
      <w:r w:rsidRPr="004D2443">
        <w:rPr>
          <w:bCs/>
          <w:spacing w:val="-3"/>
          <w:sz w:val="20"/>
          <w:szCs w:val="20"/>
        </w:rPr>
        <w:t xml:space="preserve"> S. 53 – 93.</w:t>
      </w:r>
    </w:p>
  </w:footnote>
  <w:footnote w:id="22">
    <w:p w:rsidR="00FB14F9" w:rsidRPr="004D2443" w:rsidRDefault="00FB14F9" w:rsidP="00BE3B13">
      <w:pPr>
        <w:pStyle w:val="Funotentext"/>
        <w:jc w:val="both"/>
      </w:pPr>
      <w:r w:rsidRPr="004D2443">
        <w:rPr>
          <w:rStyle w:val="Funotenzeichen"/>
        </w:rPr>
        <w:footnoteRef/>
      </w:r>
      <w:r w:rsidRPr="004D2443">
        <w:t xml:space="preserve"> Reinhard Müller: </w:t>
      </w:r>
      <w:r w:rsidRPr="004D2443">
        <w:rPr>
          <w:i/>
        </w:rPr>
        <w:t>Herbert Wehner – Moskau 1937.</w:t>
      </w:r>
      <w:r w:rsidRPr="004D2443">
        <w:t xml:space="preserve"> Hamburg 2004, S. 116.</w:t>
      </w:r>
      <w:r>
        <w:t xml:space="preserve"> </w:t>
      </w:r>
      <w:r w:rsidRPr="00BE3B13">
        <w:t xml:space="preserve">Radek ist 1937 Angeklagter </w:t>
      </w:r>
      <w:r w:rsidRPr="00F97B7B">
        <w:t>im zweiten</w:t>
      </w:r>
      <w:r w:rsidRPr="00BE3B13">
        <w:t xml:space="preserve"> </w:t>
      </w:r>
      <w:r>
        <w:t>Moskauer P</w:t>
      </w:r>
      <w:r w:rsidRPr="00BE3B13">
        <w:t>rozess.</w:t>
      </w:r>
    </w:p>
  </w:footnote>
  <w:footnote w:id="23">
    <w:p w:rsidR="00FB14F9" w:rsidRDefault="00FB14F9" w:rsidP="002371C8">
      <w:pPr>
        <w:pStyle w:val="Funotentext"/>
        <w:jc w:val="both"/>
      </w:pPr>
      <w:r>
        <w:rPr>
          <w:rStyle w:val="Funotenzeichen"/>
        </w:rPr>
        <w:footnoteRef/>
      </w:r>
      <w:r>
        <w:t xml:space="preserve"> </w:t>
      </w:r>
      <w:r w:rsidRPr="004D2443">
        <w:t xml:space="preserve">Am 11. November 1937 formuliert </w:t>
      </w:r>
      <w:proofErr w:type="spellStart"/>
      <w:r w:rsidRPr="004D2443">
        <w:t>Dimitroff</w:t>
      </w:r>
      <w:proofErr w:type="spellEnd"/>
      <w:r w:rsidRPr="004D2443">
        <w:t xml:space="preserve"> in seinem Tagebuch einen Befehl Stalins: „Münzenberg ist ein Trotzkist. Wenn er herkommt [nach Moskau], werden wir ihn sofort verhaften. – Geben Sie [</w:t>
      </w:r>
      <w:proofErr w:type="spellStart"/>
      <w:r w:rsidRPr="004D2443">
        <w:t>Dimitroff</w:t>
      </w:r>
      <w:proofErr w:type="spellEnd"/>
      <w:r w:rsidRPr="004D2443">
        <w:t>] sich Mühe, ihn hierher zu locken“ (</w:t>
      </w:r>
      <w:r w:rsidRPr="004D2443">
        <w:rPr>
          <w:bCs/>
          <w:spacing w:val="-3"/>
        </w:rPr>
        <w:t xml:space="preserve">Dirk Kemper: </w:t>
      </w:r>
      <w:r w:rsidRPr="004D2443">
        <w:rPr>
          <w:bCs/>
          <w:i/>
          <w:spacing w:val="-3"/>
        </w:rPr>
        <w:t xml:space="preserve">Heinrich Mann und Walter Ulbricht, </w:t>
      </w:r>
      <w:r w:rsidRPr="004D2443">
        <w:rPr>
          <w:bCs/>
          <w:spacing w:val="-3"/>
        </w:rPr>
        <w:t xml:space="preserve">S. 63). </w:t>
      </w:r>
      <w:r w:rsidRPr="00F97B7B">
        <w:t>1938 wird Münzenberg aus dem Zentralkomitee der KPD und am 16. Februar 1939 aus der KPD ausgeschlossen.</w:t>
      </w:r>
    </w:p>
  </w:footnote>
  <w:footnote w:id="24">
    <w:p w:rsidR="00FB14F9" w:rsidRDefault="00FB14F9">
      <w:pPr>
        <w:pStyle w:val="Funotentext"/>
      </w:pPr>
      <w:r>
        <w:rPr>
          <w:rStyle w:val="Funotenzeichen"/>
        </w:rPr>
        <w:footnoteRef/>
      </w:r>
      <w:r>
        <w:t xml:space="preserve"> </w:t>
      </w:r>
      <w:r w:rsidRPr="00E5280B">
        <w:t>Reinhard Müller:</w:t>
      </w:r>
      <w:r>
        <w:t xml:space="preserve"> </w:t>
      </w:r>
      <w:proofErr w:type="spellStart"/>
      <w:r>
        <w:t>Šmeral</w:t>
      </w:r>
      <w:proofErr w:type="spellEnd"/>
      <w:r>
        <w:t>, S. 241.</w:t>
      </w:r>
    </w:p>
  </w:footnote>
  <w:footnote w:id="25">
    <w:p w:rsidR="00FB14F9" w:rsidRDefault="00FB14F9" w:rsidP="004562B3">
      <w:pPr>
        <w:pStyle w:val="Funotentext"/>
      </w:pPr>
      <w:r>
        <w:rPr>
          <w:rStyle w:val="Funotenzeichen"/>
        </w:rPr>
        <w:footnoteRef/>
      </w:r>
      <w:r>
        <w:t xml:space="preserve"> Ebd., S. 259.</w:t>
      </w:r>
    </w:p>
  </w:footnote>
  <w:footnote w:id="26">
    <w:p w:rsidR="00FB14F9" w:rsidRDefault="00FB14F9">
      <w:pPr>
        <w:pStyle w:val="Funotentext"/>
      </w:pPr>
      <w:r>
        <w:rPr>
          <w:rStyle w:val="Funotenzeichen"/>
        </w:rPr>
        <w:footnoteRef/>
      </w:r>
      <w:r>
        <w:t xml:space="preserve"> „Auf der anderen Seite bin ich persönlich der Meinung, </w:t>
      </w:r>
      <w:proofErr w:type="spellStart"/>
      <w:r>
        <w:t>daß</w:t>
      </w:r>
      <w:proofErr w:type="spellEnd"/>
      <w:r>
        <w:t xml:space="preserve"> er hierher [nach Moskau zur Internationalen Ko</w:t>
      </w:r>
      <w:r>
        <w:t>n</w:t>
      </w:r>
      <w:r>
        <w:t>trollkommission] zu einer politischen Aussprache nicht kommt.“ (Ebd.)</w:t>
      </w:r>
    </w:p>
  </w:footnote>
  <w:footnote w:id="27">
    <w:p w:rsidR="00FB14F9" w:rsidRDefault="00FB14F9">
      <w:pPr>
        <w:pStyle w:val="Funotentext"/>
      </w:pPr>
      <w:r>
        <w:rPr>
          <w:rStyle w:val="Funotenzeichen"/>
        </w:rPr>
        <w:footnoteRef/>
      </w:r>
      <w:r>
        <w:t xml:space="preserve"> Ebd.</w:t>
      </w:r>
    </w:p>
  </w:footnote>
  <w:footnote w:id="28">
    <w:p w:rsidR="00FB14F9" w:rsidRDefault="00FB14F9">
      <w:pPr>
        <w:pStyle w:val="Funotentext"/>
      </w:pPr>
      <w:r>
        <w:rPr>
          <w:rStyle w:val="Funotenzeichen"/>
        </w:rPr>
        <w:footnoteRef/>
      </w:r>
      <w:r>
        <w:t xml:space="preserve"> Dirk Kemper verweist in dieser Frage insbesondere auf den Artikel Georgi </w:t>
      </w:r>
      <w:proofErr w:type="spellStart"/>
      <w:r>
        <w:t>Dimitroffs</w:t>
      </w:r>
      <w:proofErr w:type="spellEnd"/>
      <w:r>
        <w:t xml:space="preserve"> „Die Sowjetunion und die Arbeiterklasse der kapitalistischen Länder“. In: Dirk Kemper: Heinrich Mann und Walter Ulbricht, a.a.O., S. 89 – 93.</w:t>
      </w:r>
    </w:p>
  </w:footnote>
  <w:footnote w:id="29">
    <w:p w:rsidR="00FB14F9" w:rsidRDefault="00FB14F9">
      <w:pPr>
        <w:pStyle w:val="Funotentext"/>
      </w:pPr>
      <w:r>
        <w:rPr>
          <w:rStyle w:val="Funotenzeichen"/>
        </w:rPr>
        <w:footnoteRef/>
      </w:r>
      <w:r>
        <w:t xml:space="preserve"> Ursula Langkau-Alex: Volksfront für Deutschland, </w:t>
      </w:r>
      <w:proofErr w:type="spellStart"/>
      <w:r>
        <w:t>Sp</w:t>
      </w:r>
      <w:proofErr w:type="spellEnd"/>
      <w:r>
        <w:t>. 603. Hervorhebung – F.T.</w:t>
      </w:r>
    </w:p>
  </w:footnote>
  <w:footnote w:id="30">
    <w:p w:rsidR="00FB14F9" w:rsidRDefault="00FB14F9" w:rsidP="004339A2">
      <w:pPr>
        <w:spacing w:after="0" w:line="240" w:lineRule="auto"/>
        <w:jc w:val="both"/>
      </w:pPr>
      <w:r>
        <w:rPr>
          <w:rStyle w:val="Funotenzeichen"/>
        </w:rPr>
        <w:footnoteRef/>
      </w:r>
      <w:r>
        <w:t xml:space="preserve"> </w:t>
      </w:r>
      <w:r w:rsidRPr="00B2325F">
        <w:rPr>
          <w:sz w:val="20"/>
          <w:szCs w:val="20"/>
        </w:rPr>
        <w:t>„Die inneren Konflikte der Republik gipfelten in der Blutwoche von Barcelona Anfang Mai 1937, die durch Schießereien zwischen POUM und Anarchisten einerseits und kommunistisch geführten Polizeitruppen andere</w:t>
      </w:r>
      <w:r w:rsidRPr="00B2325F">
        <w:rPr>
          <w:sz w:val="20"/>
          <w:szCs w:val="20"/>
        </w:rPr>
        <w:t>r</w:t>
      </w:r>
      <w:r w:rsidRPr="00B2325F">
        <w:rPr>
          <w:sz w:val="20"/>
          <w:szCs w:val="20"/>
        </w:rPr>
        <w:t xml:space="preserve">seits ausgelöst worden war. Dieser Bürgerkrieg im Bürgerkrieg forderte 500 Tote und führte zu einer schweren Regierungskrise, in deren Verlauf der linkssozialistische Ministerpräsident Francisco Largo Caballero abtreten </w:t>
      </w:r>
      <w:proofErr w:type="spellStart"/>
      <w:r w:rsidRPr="00B2325F">
        <w:rPr>
          <w:sz w:val="20"/>
          <w:szCs w:val="20"/>
        </w:rPr>
        <w:t>mußte</w:t>
      </w:r>
      <w:proofErr w:type="spellEnd"/>
      <w:r w:rsidRPr="00B2325F">
        <w:rPr>
          <w:sz w:val="20"/>
          <w:szCs w:val="20"/>
        </w:rPr>
        <w:t>, die Anarchisten die Regierung verließen und der POUM als angeblicher Urheber der Unruhen auf Hoc</w:t>
      </w:r>
      <w:r w:rsidRPr="00B2325F">
        <w:rPr>
          <w:sz w:val="20"/>
          <w:szCs w:val="20"/>
        </w:rPr>
        <w:t>h</w:t>
      </w:r>
      <w:r w:rsidRPr="00B2325F">
        <w:rPr>
          <w:sz w:val="20"/>
          <w:szCs w:val="20"/>
        </w:rPr>
        <w:t>verrat verklagt und bald verboten wurde. Die Regie hierbei führten Kommunisten, die von Anfang an unauffä</w:t>
      </w:r>
      <w:r w:rsidRPr="00B2325F">
        <w:rPr>
          <w:sz w:val="20"/>
          <w:szCs w:val="20"/>
        </w:rPr>
        <w:t>l</w:t>
      </w:r>
      <w:r w:rsidRPr="00B2325F">
        <w:rPr>
          <w:sz w:val="20"/>
          <w:szCs w:val="20"/>
        </w:rPr>
        <w:t>lig, aber zielstrebig wichtige Schlüsselpositionen in Polizei, Militär und Staatsapparat angestrebt hatten. Die Rolle, die die Sowjetunion als einziger wirksamer Waffenlieferant spielte, hatte diese Personalpolitik unte</w:t>
      </w:r>
      <w:r w:rsidRPr="00B2325F">
        <w:rPr>
          <w:sz w:val="20"/>
          <w:szCs w:val="20"/>
        </w:rPr>
        <w:t>r</w:t>
      </w:r>
      <w:r w:rsidRPr="00B2325F">
        <w:rPr>
          <w:sz w:val="20"/>
          <w:szCs w:val="20"/>
        </w:rPr>
        <w:t>stützt.“</w:t>
      </w:r>
      <w:r>
        <w:t xml:space="preserve"> (</w:t>
      </w:r>
      <w:r w:rsidRPr="004339A2">
        <w:rPr>
          <w:sz w:val="20"/>
          <w:szCs w:val="20"/>
        </w:rPr>
        <w:t xml:space="preserve">Patrik von zur Mühlen: </w:t>
      </w:r>
      <w:r w:rsidRPr="004339A2">
        <w:rPr>
          <w:i/>
          <w:sz w:val="20"/>
          <w:szCs w:val="20"/>
        </w:rPr>
        <w:t xml:space="preserve">Spanien war ihre Hoffnung. </w:t>
      </w:r>
      <w:r w:rsidRPr="004339A2">
        <w:rPr>
          <w:sz w:val="20"/>
          <w:szCs w:val="20"/>
        </w:rPr>
        <w:t>Die deutsche Linke im Spanischen Bürgerkrieg 1936 bis 1939. Berlin/Bonn 1985</w:t>
      </w:r>
      <w:r>
        <w:rPr>
          <w:sz w:val="20"/>
          <w:szCs w:val="20"/>
        </w:rPr>
        <w:t>, S.</w:t>
      </w:r>
      <w:r w:rsidRPr="004339A2">
        <w:rPr>
          <w:sz w:val="20"/>
          <w:szCs w:val="20"/>
        </w:rPr>
        <w:t xml:space="preserve"> 167)</w:t>
      </w:r>
    </w:p>
  </w:footnote>
  <w:footnote w:id="31">
    <w:p w:rsidR="00FB14F9" w:rsidRDefault="00FB14F9" w:rsidP="00AC50F3">
      <w:pPr>
        <w:pStyle w:val="Funotentext"/>
        <w:jc w:val="both"/>
      </w:pPr>
      <w:r>
        <w:rPr>
          <w:rStyle w:val="Funotenzeichen"/>
        </w:rPr>
        <w:footnoteRef/>
      </w:r>
      <w:r>
        <w:t xml:space="preserve"> Der Ausgangspunkt ist die Beteiligung ausländischer Mächte. Patrik von zur Mühlen formuliert den Tatb</w:t>
      </w:r>
      <w:r>
        <w:t>e</w:t>
      </w:r>
      <w:r>
        <w:t>stand in folgender Weise: „Spanien war in den Jahren 1936 – 1939 ein bevorzugtes Bestätigungsfeld zahlreicher Geheimdienste. Den Hintergrund hierzu bildeten die internationalen Verwicklungen, in die der innerspanische Konflikt recht bald geriet. […] Es gab […] zahlreiche Dinge, die für Nachrichtendienste anderer Länder von brennendem Interesse sein konnten. Für die deutsche Gestapo, die italienische OVRA, für den portugiesischen PVDE und die Polizeidienste anderer Diktaturen war Spanien auch insofern interessant, als sich in der Republik Emigranten aus ihren Ländern und somit Gegner ihres Regime aufhielten und sich teilweise politische betäti</w:t>
      </w:r>
      <w:r>
        <w:t>g</w:t>
      </w:r>
      <w:r>
        <w:t xml:space="preserve">ten“ (Patrik von zur Mühlen: </w:t>
      </w:r>
      <w:r>
        <w:rPr>
          <w:i/>
        </w:rPr>
        <w:t xml:space="preserve">Spanien war ihre Hoffnung, </w:t>
      </w:r>
      <w:r>
        <w:t>S. 164. Zur Arbeit des NKWD-Apparates und ve</w:t>
      </w:r>
      <w:r>
        <w:t>r</w:t>
      </w:r>
      <w:r>
        <w:t>wandter Organisationen sowie zum „Kampf gegen Trotzkisten und Faschisten“ vgl. S. 168 – 204).</w:t>
      </w:r>
    </w:p>
  </w:footnote>
  <w:footnote w:id="32">
    <w:p w:rsidR="00650CCB" w:rsidRDefault="00650CCB">
      <w:pPr>
        <w:pStyle w:val="Funotentext"/>
      </w:pPr>
      <w:r>
        <w:rPr>
          <w:rStyle w:val="Funotenzeichen"/>
        </w:rPr>
        <w:footnoteRef/>
      </w:r>
      <w:r>
        <w:t xml:space="preserve"> Die Distanz</w:t>
      </w:r>
      <w:r w:rsidR="00366D8C">
        <w:t xml:space="preserve"> gegenüber der „Volksfront“-Politik</w:t>
      </w:r>
      <w:r>
        <w:t xml:space="preserve"> wurde in weiten Kreisen als ein Verzicht auf aktive, zukunft</w:t>
      </w:r>
      <w:r>
        <w:t>s</w:t>
      </w:r>
      <w:r>
        <w:t xml:space="preserve">orientierte Politik verstanden – als </w:t>
      </w:r>
      <w:r w:rsidR="00366D8C">
        <w:t>Inaktivität einer Partei, die ihr einstiges politisches Renommee längst verloren hat.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781"/>
      <w:docPartObj>
        <w:docPartGallery w:val="Page Numbers (Top of Page)"/>
        <w:docPartUnique/>
      </w:docPartObj>
    </w:sdtPr>
    <w:sdtEndPr/>
    <w:sdtContent>
      <w:p w:rsidR="00FB14F9" w:rsidRDefault="00FB14F9">
        <w:pPr>
          <w:pStyle w:val="Kopfzeile"/>
          <w:jc w:val="right"/>
        </w:pPr>
        <w:r>
          <w:fldChar w:fldCharType="begin"/>
        </w:r>
        <w:r>
          <w:instrText>PAGE   \* MERGEFORMAT</w:instrText>
        </w:r>
        <w:r>
          <w:fldChar w:fldCharType="separate"/>
        </w:r>
        <w:r w:rsidR="00CC05F9">
          <w:rPr>
            <w:noProof/>
          </w:rPr>
          <w:t>1</w:t>
        </w:r>
        <w:r>
          <w:fldChar w:fldCharType="end"/>
        </w:r>
      </w:p>
    </w:sdtContent>
  </w:sdt>
  <w:p w:rsidR="00FB14F9" w:rsidRDefault="00FB14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59"/>
    <w:rsid w:val="00004B45"/>
    <w:rsid w:val="00021A14"/>
    <w:rsid w:val="0003018D"/>
    <w:rsid w:val="0003403D"/>
    <w:rsid w:val="00042886"/>
    <w:rsid w:val="00052452"/>
    <w:rsid w:val="000573C6"/>
    <w:rsid w:val="00066881"/>
    <w:rsid w:val="00080FAA"/>
    <w:rsid w:val="000936E3"/>
    <w:rsid w:val="000A0F53"/>
    <w:rsid w:val="000C3D45"/>
    <w:rsid w:val="000D5789"/>
    <w:rsid w:val="000F188B"/>
    <w:rsid w:val="00107DBE"/>
    <w:rsid w:val="00153F7B"/>
    <w:rsid w:val="0016720E"/>
    <w:rsid w:val="0019452E"/>
    <w:rsid w:val="00197D5D"/>
    <w:rsid w:val="001A64DC"/>
    <w:rsid w:val="001A67FB"/>
    <w:rsid w:val="001B769A"/>
    <w:rsid w:val="001C457E"/>
    <w:rsid w:val="001F1119"/>
    <w:rsid w:val="00200668"/>
    <w:rsid w:val="002335A2"/>
    <w:rsid w:val="002371C8"/>
    <w:rsid w:val="00261E4D"/>
    <w:rsid w:val="00281F4F"/>
    <w:rsid w:val="00283864"/>
    <w:rsid w:val="00293FC5"/>
    <w:rsid w:val="002A6E07"/>
    <w:rsid w:val="002B2F20"/>
    <w:rsid w:val="002C6190"/>
    <w:rsid w:val="002C6618"/>
    <w:rsid w:val="00302755"/>
    <w:rsid w:val="00326CBE"/>
    <w:rsid w:val="00326F12"/>
    <w:rsid w:val="00332F67"/>
    <w:rsid w:val="003420B8"/>
    <w:rsid w:val="00343B2D"/>
    <w:rsid w:val="00352C94"/>
    <w:rsid w:val="00366D8C"/>
    <w:rsid w:val="00382205"/>
    <w:rsid w:val="00394A86"/>
    <w:rsid w:val="003958B7"/>
    <w:rsid w:val="003A0CC8"/>
    <w:rsid w:val="003A59C1"/>
    <w:rsid w:val="003A6371"/>
    <w:rsid w:val="003B3D27"/>
    <w:rsid w:val="003B553D"/>
    <w:rsid w:val="003E0077"/>
    <w:rsid w:val="003E25F2"/>
    <w:rsid w:val="003E27CA"/>
    <w:rsid w:val="003F3743"/>
    <w:rsid w:val="003F4A82"/>
    <w:rsid w:val="00430810"/>
    <w:rsid w:val="004339A2"/>
    <w:rsid w:val="004460CE"/>
    <w:rsid w:val="004545C5"/>
    <w:rsid w:val="004562B3"/>
    <w:rsid w:val="00474C0F"/>
    <w:rsid w:val="0048707F"/>
    <w:rsid w:val="004A45D9"/>
    <w:rsid w:val="004A5FE5"/>
    <w:rsid w:val="004D2443"/>
    <w:rsid w:val="004F13E4"/>
    <w:rsid w:val="005032EF"/>
    <w:rsid w:val="00506286"/>
    <w:rsid w:val="00507129"/>
    <w:rsid w:val="005212B3"/>
    <w:rsid w:val="00523154"/>
    <w:rsid w:val="00571409"/>
    <w:rsid w:val="00591537"/>
    <w:rsid w:val="005A6685"/>
    <w:rsid w:val="005B530B"/>
    <w:rsid w:val="005B68B9"/>
    <w:rsid w:val="005E16DE"/>
    <w:rsid w:val="005E31B6"/>
    <w:rsid w:val="005E43CF"/>
    <w:rsid w:val="005F34B6"/>
    <w:rsid w:val="00646053"/>
    <w:rsid w:val="00650CCB"/>
    <w:rsid w:val="00656E31"/>
    <w:rsid w:val="00657C8E"/>
    <w:rsid w:val="006839E3"/>
    <w:rsid w:val="006A45AD"/>
    <w:rsid w:val="006A4859"/>
    <w:rsid w:val="006B1F14"/>
    <w:rsid w:val="006C1728"/>
    <w:rsid w:val="006C5E4A"/>
    <w:rsid w:val="006C7652"/>
    <w:rsid w:val="006D1E21"/>
    <w:rsid w:val="006E7E38"/>
    <w:rsid w:val="006F0D32"/>
    <w:rsid w:val="006F2529"/>
    <w:rsid w:val="00725EFC"/>
    <w:rsid w:val="00727BB5"/>
    <w:rsid w:val="00750C83"/>
    <w:rsid w:val="0075143E"/>
    <w:rsid w:val="00764F15"/>
    <w:rsid w:val="007765D6"/>
    <w:rsid w:val="00783220"/>
    <w:rsid w:val="007B0DC6"/>
    <w:rsid w:val="007E38C0"/>
    <w:rsid w:val="00801A4B"/>
    <w:rsid w:val="00835494"/>
    <w:rsid w:val="00835CD9"/>
    <w:rsid w:val="00847D56"/>
    <w:rsid w:val="008515CB"/>
    <w:rsid w:val="00855920"/>
    <w:rsid w:val="00883E03"/>
    <w:rsid w:val="008841EC"/>
    <w:rsid w:val="008A25F6"/>
    <w:rsid w:val="008A37CD"/>
    <w:rsid w:val="008B3CE4"/>
    <w:rsid w:val="008C14A0"/>
    <w:rsid w:val="00905571"/>
    <w:rsid w:val="009374DF"/>
    <w:rsid w:val="0094267B"/>
    <w:rsid w:val="00943536"/>
    <w:rsid w:val="00964C64"/>
    <w:rsid w:val="00965206"/>
    <w:rsid w:val="00977749"/>
    <w:rsid w:val="00980704"/>
    <w:rsid w:val="0098250F"/>
    <w:rsid w:val="00987D42"/>
    <w:rsid w:val="00992133"/>
    <w:rsid w:val="00992F2D"/>
    <w:rsid w:val="009A4A7C"/>
    <w:rsid w:val="009B3FA6"/>
    <w:rsid w:val="009B4C54"/>
    <w:rsid w:val="009C710F"/>
    <w:rsid w:val="009C7416"/>
    <w:rsid w:val="009D08AE"/>
    <w:rsid w:val="009D3BCD"/>
    <w:rsid w:val="009F09C7"/>
    <w:rsid w:val="009F42B5"/>
    <w:rsid w:val="009F6909"/>
    <w:rsid w:val="00A14A78"/>
    <w:rsid w:val="00A47A01"/>
    <w:rsid w:val="00A504A9"/>
    <w:rsid w:val="00A54467"/>
    <w:rsid w:val="00A655C3"/>
    <w:rsid w:val="00A71336"/>
    <w:rsid w:val="00A7683C"/>
    <w:rsid w:val="00A821CB"/>
    <w:rsid w:val="00A8559F"/>
    <w:rsid w:val="00A85BBF"/>
    <w:rsid w:val="00A91097"/>
    <w:rsid w:val="00A96601"/>
    <w:rsid w:val="00AB2EB1"/>
    <w:rsid w:val="00AC3A59"/>
    <w:rsid w:val="00AC50F3"/>
    <w:rsid w:val="00AD7D3C"/>
    <w:rsid w:val="00AE34B7"/>
    <w:rsid w:val="00AF0659"/>
    <w:rsid w:val="00AF52C0"/>
    <w:rsid w:val="00AF6BF8"/>
    <w:rsid w:val="00B0278D"/>
    <w:rsid w:val="00B2325F"/>
    <w:rsid w:val="00B37B10"/>
    <w:rsid w:val="00B57887"/>
    <w:rsid w:val="00B57E9C"/>
    <w:rsid w:val="00B62BDA"/>
    <w:rsid w:val="00B7441B"/>
    <w:rsid w:val="00BA3A7D"/>
    <w:rsid w:val="00BA7C82"/>
    <w:rsid w:val="00BB0802"/>
    <w:rsid w:val="00BB1392"/>
    <w:rsid w:val="00BD5634"/>
    <w:rsid w:val="00BE3B13"/>
    <w:rsid w:val="00BE5FFA"/>
    <w:rsid w:val="00BF5211"/>
    <w:rsid w:val="00BF756D"/>
    <w:rsid w:val="00C26B35"/>
    <w:rsid w:val="00C76007"/>
    <w:rsid w:val="00C83D35"/>
    <w:rsid w:val="00C85EF7"/>
    <w:rsid w:val="00CA58CF"/>
    <w:rsid w:val="00CC05F9"/>
    <w:rsid w:val="00CC0FC7"/>
    <w:rsid w:val="00CC5E75"/>
    <w:rsid w:val="00CC6D84"/>
    <w:rsid w:val="00CD670D"/>
    <w:rsid w:val="00CD683E"/>
    <w:rsid w:val="00CF50E0"/>
    <w:rsid w:val="00D05A90"/>
    <w:rsid w:val="00D10BB5"/>
    <w:rsid w:val="00D33AC8"/>
    <w:rsid w:val="00D35A08"/>
    <w:rsid w:val="00D35B84"/>
    <w:rsid w:val="00D41439"/>
    <w:rsid w:val="00D473B2"/>
    <w:rsid w:val="00D5174D"/>
    <w:rsid w:val="00D52F69"/>
    <w:rsid w:val="00D65806"/>
    <w:rsid w:val="00D65FD2"/>
    <w:rsid w:val="00D813D1"/>
    <w:rsid w:val="00DA5AED"/>
    <w:rsid w:val="00DB3359"/>
    <w:rsid w:val="00DD745C"/>
    <w:rsid w:val="00DE670D"/>
    <w:rsid w:val="00E02459"/>
    <w:rsid w:val="00E33735"/>
    <w:rsid w:val="00E518A2"/>
    <w:rsid w:val="00E5280B"/>
    <w:rsid w:val="00E623BB"/>
    <w:rsid w:val="00E64043"/>
    <w:rsid w:val="00E64C33"/>
    <w:rsid w:val="00E76C88"/>
    <w:rsid w:val="00E76DFF"/>
    <w:rsid w:val="00EA283B"/>
    <w:rsid w:val="00EA670E"/>
    <w:rsid w:val="00EA75E5"/>
    <w:rsid w:val="00EC17A0"/>
    <w:rsid w:val="00EE6613"/>
    <w:rsid w:val="00EF0178"/>
    <w:rsid w:val="00EF4BD3"/>
    <w:rsid w:val="00F04666"/>
    <w:rsid w:val="00F07044"/>
    <w:rsid w:val="00F11E22"/>
    <w:rsid w:val="00F131AD"/>
    <w:rsid w:val="00F1372B"/>
    <w:rsid w:val="00F15CFF"/>
    <w:rsid w:val="00F27D57"/>
    <w:rsid w:val="00F339F2"/>
    <w:rsid w:val="00F37B1B"/>
    <w:rsid w:val="00F41885"/>
    <w:rsid w:val="00F6035B"/>
    <w:rsid w:val="00F604B6"/>
    <w:rsid w:val="00F62150"/>
    <w:rsid w:val="00F63B02"/>
    <w:rsid w:val="00F66E8C"/>
    <w:rsid w:val="00F779F4"/>
    <w:rsid w:val="00F97B7B"/>
    <w:rsid w:val="00FB14F9"/>
    <w:rsid w:val="00FB5A49"/>
    <w:rsid w:val="00FB66DF"/>
    <w:rsid w:val="00FE7540"/>
    <w:rsid w:val="00FF5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A59"/>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3A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3A59"/>
    <w:rPr>
      <w:rFonts w:ascii="Times New Roman" w:hAnsi="Times New Roman" w:cs="Times New Roman"/>
      <w:sz w:val="24"/>
      <w:szCs w:val="24"/>
    </w:rPr>
  </w:style>
  <w:style w:type="paragraph" w:styleId="Fuzeile">
    <w:name w:val="footer"/>
    <w:basedOn w:val="Standard"/>
    <w:link w:val="FuzeileZchn"/>
    <w:uiPriority w:val="99"/>
    <w:unhideWhenUsed/>
    <w:rsid w:val="00AC3A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3A59"/>
    <w:rPr>
      <w:rFonts w:ascii="Times New Roman" w:hAnsi="Times New Roman" w:cs="Times New Roman"/>
      <w:sz w:val="24"/>
      <w:szCs w:val="24"/>
    </w:rPr>
  </w:style>
  <w:style w:type="paragraph" w:styleId="Funotentext">
    <w:name w:val="footnote text"/>
    <w:basedOn w:val="Standard"/>
    <w:link w:val="FunotentextZchn"/>
    <w:uiPriority w:val="99"/>
    <w:unhideWhenUsed/>
    <w:rsid w:val="00EA670E"/>
    <w:pPr>
      <w:spacing w:after="0" w:line="240" w:lineRule="auto"/>
    </w:pPr>
    <w:rPr>
      <w:sz w:val="20"/>
      <w:szCs w:val="20"/>
    </w:rPr>
  </w:style>
  <w:style w:type="character" w:customStyle="1" w:styleId="FunotentextZchn">
    <w:name w:val="Fußnotentext Zchn"/>
    <w:basedOn w:val="Absatz-Standardschriftart"/>
    <w:link w:val="Funotentext"/>
    <w:uiPriority w:val="99"/>
    <w:rsid w:val="00EA670E"/>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EA670E"/>
    <w:rPr>
      <w:vertAlign w:val="superscript"/>
    </w:rPr>
  </w:style>
  <w:style w:type="paragraph" w:styleId="Sprechblasentext">
    <w:name w:val="Balloon Text"/>
    <w:basedOn w:val="Standard"/>
    <w:link w:val="SprechblasentextZchn"/>
    <w:uiPriority w:val="99"/>
    <w:semiHidden/>
    <w:unhideWhenUsed/>
    <w:rsid w:val="00B62BDA"/>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B62BDA"/>
    <w:rPr>
      <w:rFonts w:ascii="Tahoma"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A59"/>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3A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3A59"/>
    <w:rPr>
      <w:rFonts w:ascii="Times New Roman" w:hAnsi="Times New Roman" w:cs="Times New Roman"/>
      <w:sz w:val="24"/>
      <w:szCs w:val="24"/>
    </w:rPr>
  </w:style>
  <w:style w:type="paragraph" w:styleId="Fuzeile">
    <w:name w:val="footer"/>
    <w:basedOn w:val="Standard"/>
    <w:link w:val="FuzeileZchn"/>
    <w:uiPriority w:val="99"/>
    <w:unhideWhenUsed/>
    <w:rsid w:val="00AC3A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3A59"/>
    <w:rPr>
      <w:rFonts w:ascii="Times New Roman" w:hAnsi="Times New Roman" w:cs="Times New Roman"/>
      <w:sz w:val="24"/>
      <w:szCs w:val="24"/>
    </w:rPr>
  </w:style>
  <w:style w:type="paragraph" w:styleId="Funotentext">
    <w:name w:val="footnote text"/>
    <w:basedOn w:val="Standard"/>
    <w:link w:val="FunotentextZchn"/>
    <w:uiPriority w:val="99"/>
    <w:unhideWhenUsed/>
    <w:rsid w:val="00EA670E"/>
    <w:pPr>
      <w:spacing w:after="0" w:line="240" w:lineRule="auto"/>
    </w:pPr>
    <w:rPr>
      <w:sz w:val="20"/>
      <w:szCs w:val="20"/>
    </w:rPr>
  </w:style>
  <w:style w:type="character" w:customStyle="1" w:styleId="FunotentextZchn">
    <w:name w:val="Fußnotentext Zchn"/>
    <w:basedOn w:val="Absatz-Standardschriftart"/>
    <w:link w:val="Funotentext"/>
    <w:uiPriority w:val="99"/>
    <w:rsid w:val="00EA670E"/>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EA670E"/>
    <w:rPr>
      <w:vertAlign w:val="superscript"/>
    </w:rPr>
  </w:style>
  <w:style w:type="paragraph" w:styleId="Sprechblasentext">
    <w:name w:val="Balloon Text"/>
    <w:basedOn w:val="Standard"/>
    <w:link w:val="SprechblasentextZchn"/>
    <w:uiPriority w:val="99"/>
    <w:semiHidden/>
    <w:unhideWhenUsed/>
    <w:rsid w:val="00B62BDA"/>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B62BDA"/>
    <w:rPr>
      <w:rFonts w:ascii="Tahoma"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12605">
      <w:bodyDiv w:val="1"/>
      <w:marLeft w:val="0"/>
      <w:marRight w:val="0"/>
      <w:marTop w:val="0"/>
      <w:marBottom w:val="0"/>
      <w:divBdr>
        <w:top w:val="none" w:sz="0" w:space="0" w:color="auto"/>
        <w:left w:val="none" w:sz="0" w:space="0" w:color="auto"/>
        <w:bottom w:val="none" w:sz="0" w:space="0" w:color="auto"/>
        <w:right w:val="none" w:sz="0" w:space="0" w:color="auto"/>
      </w:divBdr>
    </w:div>
    <w:div w:id="667975462">
      <w:bodyDiv w:val="1"/>
      <w:marLeft w:val="0"/>
      <w:marRight w:val="0"/>
      <w:marTop w:val="0"/>
      <w:marBottom w:val="0"/>
      <w:divBdr>
        <w:top w:val="none" w:sz="0" w:space="0" w:color="auto"/>
        <w:left w:val="none" w:sz="0" w:space="0" w:color="auto"/>
        <w:bottom w:val="none" w:sz="0" w:space="0" w:color="auto"/>
        <w:right w:val="none" w:sz="0" w:space="0" w:color="auto"/>
      </w:divBdr>
    </w:div>
    <w:div w:id="18066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7255-1B11-48A4-BF0A-76659483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3177</Words>
  <Characters>20022</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3</cp:revision>
  <cp:lastPrinted>2013-06-11T08:12:00Z</cp:lastPrinted>
  <dcterms:created xsi:type="dcterms:W3CDTF">2013-06-11T08:14:00Z</dcterms:created>
  <dcterms:modified xsi:type="dcterms:W3CDTF">2013-06-11T08:14:00Z</dcterms:modified>
</cp:coreProperties>
</file>