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31" w:rsidRPr="00026431" w:rsidRDefault="00026431" w:rsidP="00A046FA">
      <w:pPr>
        <w:spacing w:after="0"/>
        <w:jc w:val="both"/>
        <w:rPr>
          <w:b/>
          <w:sz w:val="24"/>
          <w:szCs w:val="24"/>
        </w:rPr>
      </w:pPr>
      <w:bookmarkStart w:id="0" w:name="_GoBack"/>
      <w:r>
        <w:rPr>
          <w:b/>
          <w:sz w:val="24"/>
          <w:szCs w:val="24"/>
        </w:rPr>
        <w:t>(</w:t>
      </w:r>
      <w:r w:rsidR="007B79E9">
        <w:rPr>
          <w:b/>
          <w:sz w:val="24"/>
          <w:szCs w:val="24"/>
        </w:rPr>
        <w:t>31</w:t>
      </w:r>
      <w:r>
        <w:rPr>
          <w:b/>
          <w:sz w:val="24"/>
          <w:szCs w:val="24"/>
        </w:rPr>
        <w:t xml:space="preserve">) </w:t>
      </w:r>
      <w:r w:rsidR="00C22323">
        <w:rPr>
          <w:b/>
          <w:sz w:val="24"/>
          <w:szCs w:val="24"/>
        </w:rPr>
        <w:t>Texte 1</w:t>
      </w:r>
      <w:r w:rsidR="00FF53E9">
        <w:rPr>
          <w:b/>
          <w:sz w:val="24"/>
          <w:szCs w:val="24"/>
        </w:rPr>
        <w:t>2</w:t>
      </w:r>
      <w:r w:rsidR="00C22323">
        <w:rPr>
          <w:b/>
          <w:sz w:val="24"/>
          <w:szCs w:val="24"/>
        </w:rPr>
        <w:t>:</w:t>
      </w:r>
      <w:r w:rsidR="00497940">
        <w:rPr>
          <w:b/>
          <w:sz w:val="24"/>
          <w:szCs w:val="24"/>
        </w:rPr>
        <w:t xml:space="preserve"> </w:t>
      </w:r>
      <w:r w:rsidRPr="00026431">
        <w:rPr>
          <w:b/>
          <w:sz w:val="24"/>
          <w:szCs w:val="24"/>
        </w:rPr>
        <w:t>Moskau 1936 – Das Protokoll einer „Geschlossenen Parteiversammlung“</w:t>
      </w:r>
    </w:p>
    <w:p w:rsidR="00026431" w:rsidRDefault="00026431" w:rsidP="00A046FA">
      <w:pPr>
        <w:spacing w:after="0"/>
        <w:jc w:val="both"/>
        <w:rPr>
          <w:sz w:val="24"/>
          <w:szCs w:val="24"/>
        </w:rPr>
      </w:pPr>
    </w:p>
    <w:p w:rsidR="00C331CE" w:rsidRDefault="003C0978" w:rsidP="00A046FA">
      <w:pPr>
        <w:spacing w:after="0"/>
        <w:jc w:val="both"/>
        <w:rPr>
          <w:sz w:val="24"/>
          <w:szCs w:val="24"/>
        </w:rPr>
      </w:pPr>
      <w:r>
        <w:rPr>
          <w:sz w:val="24"/>
          <w:szCs w:val="24"/>
        </w:rPr>
        <w:t>D</w:t>
      </w:r>
      <w:r w:rsidR="00C6674B">
        <w:rPr>
          <w:sz w:val="24"/>
          <w:szCs w:val="24"/>
        </w:rPr>
        <w:t>ie politischen Ereignisse</w:t>
      </w:r>
      <w:r>
        <w:rPr>
          <w:sz w:val="24"/>
          <w:szCs w:val="24"/>
        </w:rPr>
        <w:t>, d</w:t>
      </w:r>
      <w:r w:rsidR="00C6674B">
        <w:rPr>
          <w:sz w:val="24"/>
          <w:szCs w:val="24"/>
        </w:rPr>
        <w:t>ie</w:t>
      </w:r>
      <w:r>
        <w:rPr>
          <w:sz w:val="24"/>
          <w:szCs w:val="24"/>
        </w:rPr>
        <w:t xml:space="preserve"> zwischen 1935 und 1937 </w:t>
      </w:r>
      <w:r w:rsidR="00C6674B">
        <w:rPr>
          <w:sz w:val="24"/>
          <w:szCs w:val="24"/>
        </w:rPr>
        <w:t>das</w:t>
      </w:r>
      <w:r>
        <w:rPr>
          <w:sz w:val="24"/>
          <w:szCs w:val="24"/>
        </w:rPr>
        <w:t xml:space="preserve"> Pariser Exil </w:t>
      </w:r>
      <w:r w:rsidR="00C6674B">
        <w:rPr>
          <w:sz w:val="24"/>
          <w:szCs w:val="24"/>
        </w:rPr>
        <w:t>be</w:t>
      </w:r>
      <w:r w:rsidR="000F3B28">
        <w:rPr>
          <w:sz w:val="24"/>
          <w:szCs w:val="24"/>
        </w:rPr>
        <w:t>herrsch</w:t>
      </w:r>
      <w:r w:rsidR="00C6674B">
        <w:rPr>
          <w:sz w:val="24"/>
          <w:szCs w:val="24"/>
        </w:rPr>
        <w:t>ten</w:t>
      </w:r>
      <w:r>
        <w:rPr>
          <w:sz w:val="24"/>
          <w:szCs w:val="24"/>
        </w:rPr>
        <w:t xml:space="preserve">: die </w:t>
      </w:r>
      <w:r>
        <w:rPr>
          <w:i/>
          <w:sz w:val="24"/>
          <w:szCs w:val="24"/>
        </w:rPr>
        <w:t>Tageblatt-</w:t>
      </w:r>
      <w:r>
        <w:rPr>
          <w:sz w:val="24"/>
          <w:szCs w:val="24"/>
        </w:rPr>
        <w:t xml:space="preserve">Affäre, der Streit um </w:t>
      </w:r>
      <w:r>
        <w:rPr>
          <w:i/>
          <w:sz w:val="24"/>
          <w:szCs w:val="24"/>
        </w:rPr>
        <w:t xml:space="preserve">Retour de </w:t>
      </w:r>
      <w:proofErr w:type="spellStart"/>
      <w:r>
        <w:rPr>
          <w:i/>
          <w:sz w:val="24"/>
          <w:szCs w:val="24"/>
        </w:rPr>
        <w:t>l‘</w:t>
      </w:r>
      <w:r w:rsidRPr="003C0978">
        <w:rPr>
          <w:i/>
          <w:sz w:val="24"/>
          <w:szCs w:val="24"/>
        </w:rPr>
        <w:t>USSR</w:t>
      </w:r>
      <w:proofErr w:type="spellEnd"/>
      <w:r>
        <w:rPr>
          <w:sz w:val="24"/>
          <w:szCs w:val="24"/>
        </w:rPr>
        <w:t xml:space="preserve">, </w:t>
      </w:r>
      <w:r w:rsidR="000F3B28">
        <w:rPr>
          <w:sz w:val="24"/>
          <w:szCs w:val="24"/>
        </w:rPr>
        <w:t>vor allem aber</w:t>
      </w:r>
      <w:r>
        <w:rPr>
          <w:sz w:val="24"/>
          <w:szCs w:val="24"/>
        </w:rPr>
        <w:t xml:space="preserve"> die Bemühungen um die Bildung einer deutschen Volksfront, </w:t>
      </w:r>
      <w:r w:rsidR="000417A3">
        <w:rPr>
          <w:sz w:val="24"/>
          <w:szCs w:val="24"/>
        </w:rPr>
        <w:t>brachte</w:t>
      </w:r>
      <w:r w:rsidR="00C6674B">
        <w:rPr>
          <w:sz w:val="24"/>
          <w:szCs w:val="24"/>
        </w:rPr>
        <w:t>n</w:t>
      </w:r>
      <w:r w:rsidR="000417A3">
        <w:rPr>
          <w:sz w:val="24"/>
          <w:szCs w:val="24"/>
        </w:rPr>
        <w:t xml:space="preserve"> es mit sich, </w:t>
      </w:r>
      <w:r>
        <w:rPr>
          <w:sz w:val="24"/>
          <w:szCs w:val="24"/>
        </w:rPr>
        <w:t>das</w:t>
      </w:r>
      <w:r w:rsidR="00C6674B">
        <w:rPr>
          <w:sz w:val="24"/>
          <w:szCs w:val="24"/>
        </w:rPr>
        <w:t>s</w:t>
      </w:r>
      <w:r>
        <w:rPr>
          <w:sz w:val="24"/>
          <w:szCs w:val="24"/>
        </w:rPr>
        <w:t xml:space="preserve"> der Wahrnehmungshorizont des Exils sich </w:t>
      </w:r>
      <w:r w:rsidR="00C6674B">
        <w:rPr>
          <w:sz w:val="24"/>
          <w:szCs w:val="24"/>
        </w:rPr>
        <w:t xml:space="preserve">zeitweilig </w:t>
      </w:r>
      <w:r>
        <w:rPr>
          <w:sz w:val="24"/>
          <w:szCs w:val="24"/>
        </w:rPr>
        <w:t>stark verengte</w:t>
      </w:r>
      <w:r w:rsidR="00C6674B">
        <w:rPr>
          <w:sz w:val="24"/>
          <w:szCs w:val="24"/>
        </w:rPr>
        <w:t xml:space="preserve"> und </w:t>
      </w:r>
      <w:r w:rsidR="00635BA1">
        <w:rPr>
          <w:sz w:val="24"/>
          <w:szCs w:val="24"/>
        </w:rPr>
        <w:t>Vorgäng</w:t>
      </w:r>
      <w:r w:rsidR="00917B46">
        <w:rPr>
          <w:sz w:val="24"/>
          <w:szCs w:val="24"/>
        </w:rPr>
        <w:t>e</w:t>
      </w:r>
      <w:r w:rsidR="00C6674B">
        <w:rPr>
          <w:sz w:val="24"/>
          <w:szCs w:val="24"/>
        </w:rPr>
        <w:t xml:space="preserve"> von Gewicht, die sich zu gleicher Zeit an anderer Stelle: in Deutschland </w:t>
      </w:r>
      <w:r w:rsidR="00C134BE">
        <w:rPr>
          <w:sz w:val="24"/>
          <w:szCs w:val="24"/>
        </w:rPr>
        <w:t>und</w:t>
      </w:r>
      <w:r w:rsidR="00C6674B">
        <w:rPr>
          <w:sz w:val="24"/>
          <w:szCs w:val="24"/>
        </w:rPr>
        <w:t xml:space="preserve"> in der Sowjetunion</w:t>
      </w:r>
      <w:r w:rsidR="00C134BE">
        <w:rPr>
          <w:sz w:val="24"/>
          <w:szCs w:val="24"/>
        </w:rPr>
        <w:t>,</w:t>
      </w:r>
      <w:r w:rsidR="00C6674B">
        <w:rPr>
          <w:sz w:val="24"/>
          <w:szCs w:val="24"/>
        </w:rPr>
        <w:t xml:space="preserve"> vollzogen, zwar registriert</w:t>
      </w:r>
      <w:r w:rsidR="002B64FA">
        <w:rPr>
          <w:sz w:val="24"/>
          <w:szCs w:val="24"/>
        </w:rPr>
        <w:t xml:space="preserve">, </w:t>
      </w:r>
      <w:r w:rsidR="001A6EC1">
        <w:rPr>
          <w:sz w:val="24"/>
          <w:szCs w:val="24"/>
        </w:rPr>
        <w:t xml:space="preserve">auch diskutiert, </w:t>
      </w:r>
      <w:r w:rsidR="00C134BE">
        <w:rPr>
          <w:sz w:val="24"/>
          <w:szCs w:val="24"/>
        </w:rPr>
        <w:t xml:space="preserve">jedoch </w:t>
      </w:r>
      <w:r w:rsidR="00C6674B">
        <w:rPr>
          <w:sz w:val="24"/>
          <w:szCs w:val="24"/>
        </w:rPr>
        <w:t xml:space="preserve">in ihren potentiellen Auswirkungen </w:t>
      </w:r>
      <w:r w:rsidR="001A6EC1">
        <w:rPr>
          <w:sz w:val="24"/>
          <w:szCs w:val="24"/>
        </w:rPr>
        <w:t xml:space="preserve">stark </w:t>
      </w:r>
      <w:r w:rsidR="00C6674B">
        <w:rPr>
          <w:sz w:val="24"/>
          <w:szCs w:val="24"/>
        </w:rPr>
        <w:t xml:space="preserve">unterschätzt wurden. </w:t>
      </w:r>
      <w:r w:rsidR="000417A3">
        <w:rPr>
          <w:sz w:val="24"/>
          <w:szCs w:val="24"/>
        </w:rPr>
        <w:t xml:space="preserve">Das hatte weitreichende Folgen für die </w:t>
      </w:r>
      <w:r w:rsidR="00692BF4">
        <w:rPr>
          <w:sz w:val="24"/>
          <w:szCs w:val="24"/>
        </w:rPr>
        <w:t>Beurteil</w:t>
      </w:r>
      <w:r w:rsidR="000417A3">
        <w:rPr>
          <w:sz w:val="24"/>
          <w:szCs w:val="24"/>
        </w:rPr>
        <w:t>ung</w:t>
      </w:r>
      <w:r w:rsidR="004D3FC3">
        <w:rPr>
          <w:sz w:val="24"/>
          <w:szCs w:val="24"/>
        </w:rPr>
        <w:t xml:space="preserve"> der </w:t>
      </w:r>
      <w:r w:rsidR="00547792">
        <w:rPr>
          <w:sz w:val="24"/>
          <w:szCs w:val="24"/>
        </w:rPr>
        <w:t xml:space="preserve">politischen </w:t>
      </w:r>
      <w:r w:rsidR="004D3FC3">
        <w:rPr>
          <w:sz w:val="24"/>
          <w:szCs w:val="24"/>
        </w:rPr>
        <w:t>Gesamtsituation</w:t>
      </w:r>
      <w:r w:rsidR="00C134BE">
        <w:rPr>
          <w:sz w:val="24"/>
          <w:szCs w:val="24"/>
        </w:rPr>
        <w:t xml:space="preserve"> und der weiteren Entwicklung</w:t>
      </w:r>
      <w:r w:rsidR="000417A3">
        <w:rPr>
          <w:sz w:val="24"/>
          <w:szCs w:val="24"/>
        </w:rPr>
        <w:t xml:space="preserve">. </w:t>
      </w:r>
      <w:r w:rsidR="00C6674B">
        <w:rPr>
          <w:sz w:val="24"/>
          <w:szCs w:val="24"/>
        </w:rPr>
        <w:t xml:space="preserve">Das Dritte Reich </w:t>
      </w:r>
      <w:r w:rsidR="00C134BE">
        <w:rPr>
          <w:sz w:val="24"/>
          <w:szCs w:val="24"/>
        </w:rPr>
        <w:t>hat</w:t>
      </w:r>
      <w:r w:rsidR="00C6674B">
        <w:rPr>
          <w:sz w:val="24"/>
          <w:szCs w:val="24"/>
        </w:rPr>
        <w:t>te im März 1935 die Allgemeine Wehrpflicht ein</w:t>
      </w:r>
      <w:r w:rsidR="00C134BE">
        <w:rPr>
          <w:sz w:val="24"/>
          <w:szCs w:val="24"/>
        </w:rPr>
        <w:t>geführt</w:t>
      </w:r>
      <w:r w:rsidR="00C6674B">
        <w:rPr>
          <w:sz w:val="24"/>
          <w:szCs w:val="24"/>
        </w:rPr>
        <w:t>. Im September wurden die Nürnberger Gesetze verabschiedet</w:t>
      </w:r>
      <w:r w:rsidR="00F70993">
        <w:rPr>
          <w:sz w:val="24"/>
          <w:szCs w:val="24"/>
        </w:rPr>
        <w:t>. Das geschah durch Akklamat</w:t>
      </w:r>
      <w:r w:rsidR="00F70993">
        <w:rPr>
          <w:sz w:val="24"/>
          <w:szCs w:val="24"/>
        </w:rPr>
        <w:t>i</w:t>
      </w:r>
      <w:r w:rsidR="00F70993">
        <w:rPr>
          <w:sz w:val="24"/>
          <w:szCs w:val="24"/>
        </w:rPr>
        <w:t>on.</w:t>
      </w:r>
      <w:r w:rsidR="00C6674B">
        <w:rPr>
          <w:sz w:val="24"/>
          <w:szCs w:val="24"/>
        </w:rPr>
        <w:t xml:space="preserve"> </w:t>
      </w:r>
      <w:r w:rsidR="00F70993">
        <w:rPr>
          <w:sz w:val="24"/>
          <w:szCs w:val="24"/>
        </w:rPr>
        <w:t>I</w:t>
      </w:r>
      <w:r w:rsidR="00C6674B">
        <w:rPr>
          <w:sz w:val="24"/>
          <w:szCs w:val="24"/>
        </w:rPr>
        <w:t xml:space="preserve">m März 1936 </w:t>
      </w:r>
      <w:r w:rsidR="00F70993">
        <w:rPr>
          <w:sz w:val="24"/>
          <w:szCs w:val="24"/>
        </w:rPr>
        <w:t xml:space="preserve">folgte </w:t>
      </w:r>
      <w:r w:rsidR="00C6674B">
        <w:rPr>
          <w:sz w:val="24"/>
          <w:szCs w:val="24"/>
        </w:rPr>
        <w:t xml:space="preserve">die Besetzung </w:t>
      </w:r>
      <w:r w:rsidR="00F70993">
        <w:rPr>
          <w:sz w:val="24"/>
          <w:szCs w:val="24"/>
        </w:rPr>
        <w:t xml:space="preserve">des </w:t>
      </w:r>
      <w:r w:rsidR="00C6674B">
        <w:rPr>
          <w:sz w:val="24"/>
          <w:szCs w:val="24"/>
        </w:rPr>
        <w:t>entmilitarisierten Rheinlands</w:t>
      </w:r>
      <w:r w:rsidR="009706A7">
        <w:rPr>
          <w:sz w:val="24"/>
          <w:szCs w:val="24"/>
        </w:rPr>
        <w:t>.</w:t>
      </w:r>
      <w:r w:rsidR="004D41E3" w:rsidRPr="004D41E3">
        <w:rPr>
          <w:sz w:val="24"/>
          <w:szCs w:val="24"/>
        </w:rPr>
        <w:t xml:space="preserve"> </w:t>
      </w:r>
      <w:r w:rsidR="004D41E3">
        <w:rPr>
          <w:sz w:val="24"/>
          <w:szCs w:val="24"/>
        </w:rPr>
        <w:t>Da Frankreich und England gegen diese Verletzung zentrale</w:t>
      </w:r>
      <w:r w:rsidR="00B15EEB">
        <w:rPr>
          <w:sz w:val="24"/>
          <w:szCs w:val="24"/>
        </w:rPr>
        <w:t>r</w:t>
      </w:r>
      <w:r w:rsidR="004D41E3">
        <w:rPr>
          <w:sz w:val="24"/>
          <w:szCs w:val="24"/>
        </w:rPr>
        <w:t xml:space="preserve"> </w:t>
      </w:r>
      <w:r w:rsidR="00B15EEB">
        <w:rPr>
          <w:sz w:val="24"/>
          <w:szCs w:val="24"/>
        </w:rPr>
        <w:t>Auflagen, die</w:t>
      </w:r>
      <w:r w:rsidR="004D41E3">
        <w:rPr>
          <w:sz w:val="24"/>
          <w:szCs w:val="24"/>
        </w:rPr>
        <w:t xml:space="preserve"> de</w:t>
      </w:r>
      <w:r w:rsidR="00B15EEB">
        <w:rPr>
          <w:sz w:val="24"/>
          <w:szCs w:val="24"/>
        </w:rPr>
        <w:t>r</w:t>
      </w:r>
      <w:r w:rsidR="004D41E3">
        <w:rPr>
          <w:sz w:val="24"/>
          <w:szCs w:val="24"/>
        </w:rPr>
        <w:t xml:space="preserve"> Versailler Vertrag</w:t>
      </w:r>
      <w:r w:rsidR="00B15EEB">
        <w:rPr>
          <w:sz w:val="24"/>
          <w:szCs w:val="24"/>
        </w:rPr>
        <w:t xml:space="preserve"> festgelegt ha</w:t>
      </w:r>
      <w:r w:rsidR="00B15EEB">
        <w:rPr>
          <w:sz w:val="24"/>
          <w:szCs w:val="24"/>
        </w:rPr>
        <w:t>t</w:t>
      </w:r>
      <w:r w:rsidR="00B15EEB">
        <w:rPr>
          <w:sz w:val="24"/>
          <w:szCs w:val="24"/>
        </w:rPr>
        <w:t>te,</w:t>
      </w:r>
      <w:r w:rsidR="004D41E3">
        <w:rPr>
          <w:sz w:val="24"/>
          <w:szCs w:val="24"/>
        </w:rPr>
        <w:t xml:space="preserve"> nicht mit militärischer Intervention antworteten, war der Weg für Hitler frei. Im August formulierte er in einer geheimen Denkschrift erstmals das explizite Ziel </w:t>
      </w:r>
      <w:r w:rsidR="00F70993">
        <w:rPr>
          <w:sz w:val="24"/>
          <w:szCs w:val="24"/>
        </w:rPr>
        <w:t>sein</w:t>
      </w:r>
      <w:r w:rsidR="004D41E3">
        <w:rPr>
          <w:sz w:val="24"/>
          <w:szCs w:val="24"/>
        </w:rPr>
        <w:t>er Politik: die Vorbereitung auf eine militärische Auseinandersetzung</w:t>
      </w:r>
      <w:r w:rsidR="00F70993">
        <w:rPr>
          <w:sz w:val="24"/>
          <w:szCs w:val="24"/>
        </w:rPr>
        <w:t xml:space="preserve">. </w:t>
      </w:r>
      <w:r w:rsidR="004D41E3">
        <w:rPr>
          <w:sz w:val="24"/>
          <w:szCs w:val="24"/>
        </w:rPr>
        <w:t>Deutschland solle „in vier Jahren kriegsfähig“</w:t>
      </w:r>
      <w:r w:rsidR="004D41E3" w:rsidRPr="00971124">
        <w:rPr>
          <w:rStyle w:val="Funotenzeichen"/>
          <w:sz w:val="24"/>
          <w:szCs w:val="24"/>
        </w:rPr>
        <w:t xml:space="preserve"> </w:t>
      </w:r>
      <w:r w:rsidR="004D41E3">
        <w:rPr>
          <w:rStyle w:val="Funotenzeichen"/>
          <w:sz w:val="24"/>
          <w:szCs w:val="24"/>
        </w:rPr>
        <w:footnoteReference w:id="1"/>
      </w:r>
      <w:r w:rsidR="004D41E3">
        <w:rPr>
          <w:sz w:val="24"/>
          <w:szCs w:val="24"/>
        </w:rPr>
        <w:t xml:space="preserve"> gemacht werden.</w:t>
      </w:r>
      <w:r w:rsidR="00F70993">
        <w:rPr>
          <w:sz w:val="24"/>
          <w:szCs w:val="24"/>
        </w:rPr>
        <w:t xml:space="preserve"> </w:t>
      </w:r>
    </w:p>
    <w:p w:rsidR="00692BF4" w:rsidRDefault="00C331CE" w:rsidP="00A046FA">
      <w:pPr>
        <w:spacing w:after="0"/>
        <w:jc w:val="both"/>
        <w:rPr>
          <w:sz w:val="24"/>
          <w:szCs w:val="24"/>
        </w:rPr>
      </w:pPr>
      <w:r>
        <w:rPr>
          <w:sz w:val="24"/>
          <w:szCs w:val="24"/>
        </w:rPr>
        <w:tab/>
      </w:r>
      <w:r w:rsidR="00F70993">
        <w:rPr>
          <w:sz w:val="24"/>
          <w:szCs w:val="24"/>
        </w:rPr>
        <w:t>M</w:t>
      </w:r>
      <w:r w:rsidR="004D41E3">
        <w:rPr>
          <w:sz w:val="24"/>
          <w:szCs w:val="24"/>
        </w:rPr>
        <w:t xml:space="preserve">it den Nürnberger Gesetzen und der Einführung der Wehrwirtschaft rückten zwei zentrale </w:t>
      </w:r>
      <w:r w:rsidR="00F70993">
        <w:rPr>
          <w:sz w:val="24"/>
          <w:szCs w:val="24"/>
        </w:rPr>
        <w:t>Postulate</w:t>
      </w:r>
      <w:r w:rsidR="004D41E3">
        <w:rPr>
          <w:sz w:val="24"/>
          <w:szCs w:val="24"/>
        </w:rPr>
        <w:t xml:space="preserve"> der NS-Ideologie in Sichtweite: die </w:t>
      </w:r>
      <w:r w:rsidR="000F3B28">
        <w:rPr>
          <w:sz w:val="24"/>
          <w:szCs w:val="24"/>
        </w:rPr>
        <w:t>L</w:t>
      </w:r>
      <w:r w:rsidR="004D41E3">
        <w:rPr>
          <w:sz w:val="24"/>
          <w:szCs w:val="24"/>
        </w:rPr>
        <w:t>ösung der Judenfrage – wobei zu di</w:t>
      </w:r>
      <w:r w:rsidR="004D41E3">
        <w:rPr>
          <w:sz w:val="24"/>
          <w:szCs w:val="24"/>
        </w:rPr>
        <w:t>e</w:t>
      </w:r>
      <w:r w:rsidR="004D41E3">
        <w:rPr>
          <w:sz w:val="24"/>
          <w:szCs w:val="24"/>
        </w:rPr>
        <w:t xml:space="preserve">ser Zeit noch nicht feststand, auf welche Instrumente die NS-Führung dabei zurückgreifen würde –, </w:t>
      </w:r>
      <w:r>
        <w:rPr>
          <w:sz w:val="24"/>
          <w:szCs w:val="24"/>
        </w:rPr>
        <w:t>und</w:t>
      </w:r>
      <w:r w:rsidR="004D41E3">
        <w:rPr>
          <w:sz w:val="24"/>
          <w:szCs w:val="24"/>
        </w:rPr>
        <w:t xml:space="preserve"> die Erringung der Hegemonie in Europa</w:t>
      </w:r>
      <w:r w:rsidR="004D41E3" w:rsidRPr="00971124">
        <w:rPr>
          <w:sz w:val="24"/>
          <w:szCs w:val="24"/>
        </w:rPr>
        <w:t xml:space="preserve"> </w:t>
      </w:r>
      <w:r w:rsidR="004D41E3" w:rsidRPr="00971124">
        <w:rPr>
          <w:i/>
          <w:sz w:val="24"/>
          <w:szCs w:val="24"/>
        </w:rPr>
        <w:t xml:space="preserve">mit </w:t>
      </w:r>
      <w:r w:rsidR="004D41E3" w:rsidRPr="00C331CE">
        <w:rPr>
          <w:i/>
          <w:sz w:val="24"/>
          <w:szCs w:val="24"/>
        </w:rPr>
        <w:t>militärischen</w:t>
      </w:r>
      <w:r w:rsidR="004D41E3" w:rsidRPr="00C331CE">
        <w:rPr>
          <w:sz w:val="24"/>
          <w:szCs w:val="24"/>
        </w:rPr>
        <w:t xml:space="preserve"> </w:t>
      </w:r>
      <w:r w:rsidR="004D41E3" w:rsidRPr="00971124">
        <w:rPr>
          <w:i/>
          <w:sz w:val="24"/>
          <w:szCs w:val="24"/>
        </w:rPr>
        <w:t>Mitteln</w:t>
      </w:r>
      <w:r w:rsidR="004D41E3">
        <w:rPr>
          <w:sz w:val="24"/>
          <w:szCs w:val="24"/>
        </w:rPr>
        <w:t>.</w:t>
      </w:r>
      <w:r w:rsidR="004D41E3" w:rsidRPr="00692BF4">
        <w:rPr>
          <w:sz w:val="24"/>
          <w:szCs w:val="24"/>
        </w:rPr>
        <w:t xml:space="preserve"> </w:t>
      </w:r>
    </w:p>
    <w:p w:rsidR="009D5BD6" w:rsidRDefault="009D5BD6" w:rsidP="00A046FA">
      <w:pPr>
        <w:spacing w:after="0"/>
        <w:jc w:val="both"/>
        <w:rPr>
          <w:sz w:val="24"/>
          <w:szCs w:val="24"/>
        </w:rPr>
      </w:pPr>
    </w:p>
    <w:p w:rsidR="006E0F4C" w:rsidRDefault="00917B46" w:rsidP="00A046FA">
      <w:pPr>
        <w:spacing w:after="0"/>
        <w:jc w:val="both"/>
        <w:rPr>
          <w:sz w:val="24"/>
          <w:szCs w:val="24"/>
        </w:rPr>
      </w:pPr>
      <w:r>
        <w:rPr>
          <w:sz w:val="24"/>
          <w:szCs w:val="24"/>
        </w:rPr>
        <w:tab/>
        <w:t xml:space="preserve">Was sich zwischen 1935 und 1937 in Moskau ereignete, war in den spektakulären Momenten: dem Kirow-Mord im Dezember 1934 und dem nachfolgenden ersten und zweiten Moskauer Prozess (19. bis 24. August 1936; 23. </w:t>
      </w:r>
      <w:r w:rsidR="009D5BD6">
        <w:rPr>
          <w:sz w:val="24"/>
          <w:szCs w:val="24"/>
        </w:rPr>
        <w:t>b</w:t>
      </w:r>
      <w:r>
        <w:rPr>
          <w:sz w:val="24"/>
          <w:szCs w:val="24"/>
        </w:rPr>
        <w:t>is 30. Januar 1937)</w:t>
      </w:r>
      <w:r w:rsidR="001A6EC1">
        <w:rPr>
          <w:sz w:val="24"/>
          <w:szCs w:val="24"/>
        </w:rPr>
        <w:t>,</w:t>
      </w:r>
      <w:r>
        <w:rPr>
          <w:sz w:val="24"/>
          <w:szCs w:val="24"/>
        </w:rPr>
        <w:t xml:space="preserve"> für Außenstehende </w:t>
      </w:r>
      <w:r w:rsidR="001A6EC1">
        <w:rPr>
          <w:sz w:val="24"/>
          <w:szCs w:val="24"/>
        </w:rPr>
        <w:t>be</w:t>
      </w:r>
      <w:r w:rsidR="001A6EC1">
        <w:rPr>
          <w:sz w:val="24"/>
          <w:szCs w:val="24"/>
        </w:rPr>
        <w:t>s</w:t>
      </w:r>
      <w:r w:rsidR="001A6EC1">
        <w:rPr>
          <w:sz w:val="24"/>
          <w:szCs w:val="24"/>
        </w:rPr>
        <w:t xml:space="preserve">ser </w:t>
      </w:r>
      <w:r w:rsidR="006E0F4C">
        <w:rPr>
          <w:sz w:val="24"/>
          <w:szCs w:val="24"/>
        </w:rPr>
        <w:t xml:space="preserve">zu </w:t>
      </w:r>
      <w:r>
        <w:rPr>
          <w:sz w:val="24"/>
          <w:szCs w:val="24"/>
        </w:rPr>
        <w:t>erfass</w:t>
      </w:r>
      <w:r w:rsidR="006E0F4C">
        <w:rPr>
          <w:sz w:val="24"/>
          <w:szCs w:val="24"/>
        </w:rPr>
        <w:t>en</w:t>
      </w:r>
      <w:r w:rsidR="001A6EC1">
        <w:rPr>
          <w:sz w:val="24"/>
          <w:szCs w:val="24"/>
        </w:rPr>
        <w:t>, obgleich insbesondere die „Geständnisse“ der in den Prozessen Angeklagten eine Vielzahl von Fragen aufwarfen</w:t>
      </w:r>
      <w:r w:rsidR="00C331CE">
        <w:rPr>
          <w:sz w:val="24"/>
          <w:szCs w:val="24"/>
        </w:rPr>
        <w:t xml:space="preserve"> und im Pariser Exil intensiv diskutiert wurden</w:t>
      </w:r>
      <w:r>
        <w:rPr>
          <w:sz w:val="24"/>
          <w:szCs w:val="24"/>
        </w:rPr>
        <w:t xml:space="preserve">. </w:t>
      </w:r>
      <w:r w:rsidR="00F606AB">
        <w:rPr>
          <w:sz w:val="24"/>
          <w:szCs w:val="24"/>
        </w:rPr>
        <w:t>D</w:t>
      </w:r>
      <w:r w:rsidR="006E0F4C">
        <w:rPr>
          <w:sz w:val="24"/>
          <w:szCs w:val="24"/>
        </w:rPr>
        <w:t>er Ch</w:t>
      </w:r>
      <w:r w:rsidR="006E0F4C">
        <w:rPr>
          <w:sz w:val="24"/>
          <w:szCs w:val="24"/>
        </w:rPr>
        <w:t>a</w:t>
      </w:r>
      <w:r w:rsidR="006E0F4C">
        <w:rPr>
          <w:sz w:val="24"/>
          <w:szCs w:val="24"/>
        </w:rPr>
        <w:t>rakter des</w:t>
      </w:r>
      <w:r w:rsidR="00F606AB">
        <w:rPr>
          <w:sz w:val="24"/>
          <w:szCs w:val="24"/>
        </w:rPr>
        <w:t xml:space="preserve"> Gesamtgeschehen</w:t>
      </w:r>
      <w:r w:rsidR="006E0F4C">
        <w:rPr>
          <w:sz w:val="24"/>
          <w:szCs w:val="24"/>
        </w:rPr>
        <w:t>s</w:t>
      </w:r>
      <w:r w:rsidR="00F606AB">
        <w:rPr>
          <w:sz w:val="24"/>
          <w:szCs w:val="24"/>
        </w:rPr>
        <w:t xml:space="preserve"> und seine Relevanz</w:t>
      </w:r>
      <w:r w:rsidR="006E0F4C">
        <w:rPr>
          <w:sz w:val="24"/>
          <w:szCs w:val="24"/>
        </w:rPr>
        <w:t xml:space="preserve"> ent</w:t>
      </w:r>
      <w:r w:rsidR="00F606AB">
        <w:rPr>
          <w:sz w:val="24"/>
          <w:szCs w:val="24"/>
        </w:rPr>
        <w:t>zog</w:t>
      </w:r>
      <w:r w:rsidR="009D5BD6">
        <w:rPr>
          <w:sz w:val="24"/>
          <w:szCs w:val="24"/>
        </w:rPr>
        <w:t>en</w:t>
      </w:r>
      <w:r w:rsidR="00F606AB">
        <w:rPr>
          <w:sz w:val="24"/>
          <w:szCs w:val="24"/>
        </w:rPr>
        <w:t xml:space="preserve"> sich </w:t>
      </w:r>
      <w:r w:rsidR="009D5BD6">
        <w:rPr>
          <w:sz w:val="24"/>
          <w:szCs w:val="24"/>
        </w:rPr>
        <w:t xml:space="preserve">jedoch selbst bei ansonsten gut informierten Beobachtern </w:t>
      </w:r>
      <w:r w:rsidR="006E0F4C">
        <w:rPr>
          <w:sz w:val="24"/>
          <w:szCs w:val="24"/>
        </w:rPr>
        <w:t>der Wahrnehmung</w:t>
      </w:r>
      <w:r w:rsidR="009D5BD6">
        <w:rPr>
          <w:sz w:val="24"/>
          <w:szCs w:val="24"/>
        </w:rPr>
        <w:t>.</w:t>
      </w:r>
      <w:r w:rsidR="00F606AB">
        <w:rPr>
          <w:sz w:val="24"/>
          <w:szCs w:val="24"/>
        </w:rPr>
        <w:t xml:space="preserve"> </w:t>
      </w:r>
    </w:p>
    <w:p w:rsidR="002B64FA" w:rsidRDefault="006E0F4C" w:rsidP="00A046FA">
      <w:pPr>
        <w:spacing w:after="0"/>
        <w:jc w:val="both"/>
        <w:rPr>
          <w:sz w:val="24"/>
          <w:szCs w:val="24"/>
        </w:rPr>
      </w:pPr>
      <w:r>
        <w:rPr>
          <w:sz w:val="24"/>
          <w:szCs w:val="24"/>
        </w:rPr>
        <w:tab/>
      </w:r>
      <w:r w:rsidR="00F606AB">
        <w:rPr>
          <w:sz w:val="24"/>
          <w:szCs w:val="24"/>
        </w:rPr>
        <w:t>Einen Eindruck, wie</w:t>
      </w:r>
      <w:r>
        <w:rPr>
          <w:sz w:val="24"/>
          <w:szCs w:val="24"/>
        </w:rPr>
        <w:t xml:space="preserve"> </w:t>
      </w:r>
      <w:r w:rsidR="00547792">
        <w:rPr>
          <w:sz w:val="24"/>
          <w:szCs w:val="24"/>
        </w:rPr>
        <w:t>wenig</w:t>
      </w:r>
      <w:r w:rsidR="00F606AB">
        <w:rPr>
          <w:sz w:val="24"/>
          <w:szCs w:val="24"/>
        </w:rPr>
        <w:t xml:space="preserve"> man von</w:t>
      </w:r>
      <w:r w:rsidR="003F3C84">
        <w:rPr>
          <w:sz w:val="24"/>
          <w:szCs w:val="24"/>
        </w:rPr>
        <w:t xml:space="preserve"> den Ereignissen</w:t>
      </w:r>
      <w:r w:rsidR="001A6EC1">
        <w:rPr>
          <w:sz w:val="24"/>
          <w:szCs w:val="24"/>
        </w:rPr>
        <w:t xml:space="preserve">, die sich in der Sowjetunion vollzogen, </w:t>
      </w:r>
      <w:r w:rsidR="00C331CE">
        <w:rPr>
          <w:sz w:val="24"/>
          <w:szCs w:val="24"/>
        </w:rPr>
        <w:t xml:space="preserve">im Grunde </w:t>
      </w:r>
      <w:r w:rsidR="001A6EC1">
        <w:rPr>
          <w:sz w:val="24"/>
          <w:szCs w:val="24"/>
        </w:rPr>
        <w:t>tatsächlich</w:t>
      </w:r>
      <w:r w:rsidR="00F606AB">
        <w:rPr>
          <w:sz w:val="24"/>
          <w:szCs w:val="24"/>
        </w:rPr>
        <w:t xml:space="preserve"> wusste, vermittelt Babette Gross, die Lebensgefährtin Willi Münzenbergs:</w:t>
      </w:r>
    </w:p>
    <w:p w:rsidR="00BC68E0" w:rsidRDefault="00BC68E0" w:rsidP="00A046FA">
      <w:pPr>
        <w:spacing w:after="0"/>
        <w:ind w:left="1134"/>
        <w:jc w:val="both"/>
        <w:rPr>
          <w:sz w:val="24"/>
          <w:szCs w:val="24"/>
        </w:rPr>
      </w:pPr>
      <w:r>
        <w:rPr>
          <w:sz w:val="24"/>
          <w:szCs w:val="24"/>
        </w:rPr>
        <w:t xml:space="preserve">„Die erste Jahreshälfte von </w:t>
      </w:r>
      <w:r w:rsidRPr="00F606AB">
        <w:rPr>
          <w:sz w:val="24"/>
          <w:szCs w:val="24"/>
        </w:rPr>
        <w:t>1935</w:t>
      </w:r>
      <w:r>
        <w:rPr>
          <w:sz w:val="24"/>
          <w:szCs w:val="24"/>
        </w:rPr>
        <w:t xml:space="preserve"> hatte bereits zahlreiche Verhaftungen gebracht, im gleichen Jahr hatten unter </w:t>
      </w:r>
      <w:proofErr w:type="spellStart"/>
      <w:r>
        <w:rPr>
          <w:sz w:val="24"/>
          <w:szCs w:val="24"/>
        </w:rPr>
        <w:t>Ausschluß</w:t>
      </w:r>
      <w:proofErr w:type="spellEnd"/>
      <w:r>
        <w:rPr>
          <w:sz w:val="24"/>
          <w:szCs w:val="24"/>
        </w:rPr>
        <w:t xml:space="preserve"> der Öffentlichkeit zwei Prozesse gegen die ehemaligen Häupter der Opposition, </w:t>
      </w:r>
      <w:proofErr w:type="spellStart"/>
      <w:r>
        <w:rPr>
          <w:sz w:val="24"/>
          <w:szCs w:val="24"/>
        </w:rPr>
        <w:t>Sinowjew</w:t>
      </w:r>
      <w:proofErr w:type="spellEnd"/>
      <w:r>
        <w:rPr>
          <w:sz w:val="24"/>
          <w:szCs w:val="24"/>
        </w:rPr>
        <w:t xml:space="preserve"> und </w:t>
      </w:r>
      <w:proofErr w:type="spellStart"/>
      <w:r>
        <w:rPr>
          <w:sz w:val="24"/>
          <w:szCs w:val="24"/>
        </w:rPr>
        <w:t>Kamenew</w:t>
      </w:r>
      <w:proofErr w:type="spellEnd"/>
      <w:r>
        <w:rPr>
          <w:sz w:val="24"/>
          <w:szCs w:val="24"/>
        </w:rPr>
        <w:t>, mit mehrjähr</w:t>
      </w:r>
      <w:r>
        <w:rPr>
          <w:sz w:val="24"/>
          <w:szCs w:val="24"/>
        </w:rPr>
        <w:t>i</w:t>
      </w:r>
      <w:r>
        <w:rPr>
          <w:sz w:val="24"/>
          <w:szCs w:val="24"/>
        </w:rPr>
        <w:t>gen Haftstrafen geendet. Auch einige ausländische Kommunisten waren der Ve</w:t>
      </w:r>
      <w:r>
        <w:rPr>
          <w:sz w:val="24"/>
          <w:szCs w:val="24"/>
        </w:rPr>
        <w:t>r</w:t>
      </w:r>
      <w:r>
        <w:rPr>
          <w:sz w:val="24"/>
          <w:szCs w:val="24"/>
        </w:rPr>
        <w:t>haftungswelle schon zum Opfer gefallen: Der ungarische Kommunist L. Magyar, ein Wirtschaftstheoretiker von Ruf an Eugen Vargas Moskauer Institut für Wel</w:t>
      </w:r>
      <w:r>
        <w:rPr>
          <w:sz w:val="24"/>
          <w:szCs w:val="24"/>
        </w:rPr>
        <w:t>t</w:t>
      </w:r>
      <w:r>
        <w:rPr>
          <w:sz w:val="24"/>
          <w:szCs w:val="24"/>
        </w:rPr>
        <w:t>wirtschaft […]</w:t>
      </w:r>
      <w:r w:rsidR="00F606AB">
        <w:rPr>
          <w:sz w:val="24"/>
          <w:szCs w:val="24"/>
        </w:rPr>
        <w:t>. Man flüsterte, er sei als angeblicher Trotzkist verhaftet worden. […] In der ‚Verlagsgenossenschaft Ausländischer Arbeiter in der UdSSR‘ hatte man Erich Wendt […] verhaftet. […] Zur gleichen Zeit wurde ein anderer Mita</w:t>
      </w:r>
      <w:r w:rsidR="00F606AB">
        <w:rPr>
          <w:sz w:val="24"/>
          <w:szCs w:val="24"/>
        </w:rPr>
        <w:t>r</w:t>
      </w:r>
      <w:r w:rsidR="00F606AB">
        <w:rPr>
          <w:sz w:val="24"/>
          <w:szCs w:val="24"/>
        </w:rPr>
        <w:lastRenderedPageBreak/>
        <w:t>beiter des Verlages, Otto Unger, ein Mitbegründer der Jugendinternationale, ve</w:t>
      </w:r>
      <w:r w:rsidR="00F606AB">
        <w:rPr>
          <w:sz w:val="24"/>
          <w:szCs w:val="24"/>
        </w:rPr>
        <w:t>r</w:t>
      </w:r>
      <w:r w:rsidR="00F606AB">
        <w:rPr>
          <w:sz w:val="24"/>
          <w:szCs w:val="24"/>
        </w:rPr>
        <w:t>haftet und tauchte nicht wieder auf.</w:t>
      </w:r>
      <w:r>
        <w:rPr>
          <w:sz w:val="24"/>
          <w:szCs w:val="24"/>
        </w:rPr>
        <w:t>“</w:t>
      </w:r>
      <w:r w:rsidR="00F606AB">
        <w:rPr>
          <w:rStyle w:val="Funotenzeichen"/>
          <w:sz w:val="24"/>
          <w:szCs w:val="24"/>
        </w:rPr>
        <w:footnoteReference w:id="2"/>
      </w:r>
      <w:r w:rsidR="00F606AB">
        <w:rPr>
          <w:sz w:val="24"/>
          <w:szCs w:val="24"/>
        </w:rPr>
        <w:t xml:space="preserve"> </w:t>
      </w:r>
    </w:p>
    <w:p w:rsidR="00E954AF" w:rsidRDefault="006E0F4C" w:rsidP="00A046FA">
      <w:pPr>
        <w:spacing w:after="0"/>
        <w:jc w:val="both"/>
        <w:rPr>
          <w:sz w:val="24"/>
          <w:szCs w:val="24"/>
        </w:rPr>
      </w:pPr>
      <w:r>
        <w:rPr>
          <w:sz w:val="24"/>
          <w:szCs w:val="24"/>
        </w:rPr>
        <w:t>Das sind Details, die</w:t>
      </w:r>
      <w:r w:rsidR="00072D80">
        <w:rPr>
          <w:sz w:val="24"/>
          <w:szCs w:val="24"/>
        </w:rPr>
        <w:t>, wie wir heute wissen,</w:t>
      </w:r>
      <w:r>
        <w:rPr>
          <w:sz w:val="24"/>
          <w:szCs w:val="24"/>
        </w:rPr>
        <w:t xml:space="preserve"> den Umfang des Terrors</w:t>
      </w:r>
      <w:r w:rsidR="000F3B28">
        <w:rPr>
          <w:sz w:val="24"/>
          <w:szCs w:val="24"/>
        </w:rPr>
        <w:t xml:space="preserve"> </w:t>
      </w:r>
      <w:r w:rsidR="003B3BD9">
        <w:rPr>
          <w:sz w:val="24"/>
          <w:szCs w:val="24"/>
        </w:rPr>
        <w:t>nicht einmal annäh</w:t>
      </w:r>
      <w:r w:rsidR="003B3BD9">
        <w:rPr>
          <w:sz w:val="24"/>
          <w:szCs w:val="24"/>
        </w:rPr>
        <w:t>e</w:t>
      </w:r>
      <w:r w:rsidR="003B3BD9">
        <w:rPr>
          <w:sz w:val="24"/>
          <w:szCs w:val="24"/>
        </w:rPr>
        <w:t>rungsweise erfass</w:t>
      </w:r>
      <w:r>
        <w:rPr>
          <w:sz w:val="24"/>
          <w:szCs w:val="24"/>
        </w:rPr>
        <w:t xml:space="preserve">en. </w:t>
      </w:r>
      <w:r w:rsidR="007B688C">
        <w:rPr>
          <w:sz w:val="24"/>
          <w:szCs w:val="24"/>
        </w:rPr>
        <w:t xml:space="preserve">Der Wissensstand war begrenzt; die Aufmerksamkeit konzentrierte sich auf Einzelpersonen bzw. auf </w:t>
      </w:r>
      <w:r w:rsidR="00072D80">
        <w:rPr>
          <w:sz w:val="24"/>
          <w:szCs w:val="24"/>
        </w:rPr>
        <w:t>einzeln</w:t>
      </w:r>
      <w:r w:rsidR="007B688C">
        <w:rPr>
          <w:sz w:val="24"/>
          <w:szCs w:val="24"/>
        </w:rPr>
        <w:t>e Gruppen</w:t>
      </w:r>
      <w:r w:rsidR="00547792">
        <w:rPr>
          <w:sz w:val="24"/>
          <w:szCs w:val="24"/>
        </w:rPr>
        <w:t xml:space="preserve"> von Verhafteten</w:t>
      </w:r>
      <w:r w:rsidR="007B688C">
        <w:rPr>
          <w:sz w:val="24"/>
          <w:szCs w:val="24"/>
        </w:rPr>
        <w:t xml:space="preserve">. </w:t>
      </w:r>
      <w:r w:rsidR="00FE33F4">
        <w:rPr>
          <w:sz w:val="24"/>
          <w:szCs w:val="24"/>
        </w:rPr>
        <w:t xml:space="preserve">In keiner Weise </w:t>
      </w:r>
      <w:r w:rsidR="007B688C">
        <w:rPr>
          <w:sz w:val="24"/>
          <w:szCs w:val="24"/>
        </w:rPr>
        <w:t>war zu di</w:t>
      </w:r>
      <w:r w:rsidR="007B688C">
        <w:rPr>
          <w:sz w:val="24"/>
          <w:szCs w:val="24"/>
        </w:rPr>
        <w:t>e</w:t>
      </w:r>
      <w:r w:rsidR="007B688C">
        <w:rPr>
          <w:sz w:val="24"/>
          <w:szCs w:val="24"/>
        </w:rPr>
        <w:t xml:space="preserve">ser Zeit erkennbar, in welchem </w:t>
      </w:r>
      <w:r w:rsidR="00072D80">
        <w:rPr>
          <w:sz w:val="24"/>
          <w:szCs w:val="24"/>
        </w:rPr>
        <w:t>Ausm</w:t>
      </w:r>
      <w:r w:rsidR="007B688C">
        <w:rPr>
          <w:sz w:val="24"/>
          <w:szCs w:val="24"/>
        </w:rPr>
        <w:t xml:space="preserve">aße die </w:t>
      </w:r>
      <w:r w:rsidR="00072D80">
        <w:rPr>
          <w:sz w:val="24"/>
          <w:szCs w:val="24"/>
        </w:rPr>
        <w:t xml:space="preserve">stalinistischen </w:t>
      </w:r>
      <w:r w:rsidR="00547792">
        <w:rPr>
          <w:sz w:val="24"/>
          <w:szCs w:val="24"/>
        </w:rPr>
        <w:t>Verfolgungen</w:t>
      </w:r>
      <w:r w:rsidR="007B688C">
        <w:rPr>
          <w:sz w:val="24"/>
          <w:szCs w:val="24"/>
        </w:rPr>
        <w:t xml:space="preserve"> </w:t>
      </w:r>
      <w:r w:rsidR="00072D80">
        <w:rPr>
          <w:sz w:val="24"/>
          <w:szCs w:val="24"/>
        </w:rPr>
        <w:t>d</w:t>
      </w:r>
      <w:r w:rsidR="000F3B28">
        <w:rPr>
          <w:sz w:val="24"/>
          <w:szCs w:val="24"/>
        </w:rPr>
        <w:t>as</w:t>
      </w:r>
      <w:r w:rsidR="00072D80">
        <w:rPr>
          <w:sz w:val="24"/>
          <w:szCs w:val="24"/>
        </w:rPr>
        <w:t xml:space="preserve"> gesellschaftl</w:t>
      </w:r>
      <w:r w:rsidR="00072D80">
        <w:rPr>
          <w:sz w:val="24"/>
          <w:szCs w:val="24"/>
        </w:rPr>
        <w:t>i</w:t>
      </w:r>
      <w:r w:rsidR="00072D80">
        <w:rPr>
          <w:sz w:val="24"/>
          <w:szCs w:val="24"/>
        </w:rPr>
        <w:t xml:space="preserve">che </w:t>
      </w:r>
      <w:r w:rsidR="000F3B28">
        <w:rPr>
          <w:sz w:val="24"/>
          <w:szCs w:val="24"/>
        </w:rPr>
        <w:t>Leben in der Sowjetunion</w:t>
      </w:r>
      <w:r w:rsidR="00072D80">
        <w:rPr>
          <w:sz w:val="24"/>
          <w:szCs w:val="24"/>
        </w:rPr>
        <w:t xml:space="preserve"> prägten, </w:t>
      </w:r>
      <w:r w:rsidR="00FE33F4">
        <w:rPr>
          <w:sz w:val="24"/>
          <w:szCs w:val="24"/>
        </w:rPr>
        <w:t xml:space="preserve">eine alles </w:t>
      </w:r>
      <w:r w:rsidR="00547792">
        <w:rPr>
          <w:sz w:val="24"/>
          <w:szCs w:val="24"/>
        </w:rPr>
        <w:t>erdrück</w:t>
      </w:r>
      <w:r w:rsidR="00FE33F4">
        <w:rPr>
          <w:sz w:val="24"/>
          <w:szCs w:val="24"/>
        </w:rPr>
        <w:t xml:space="preserve">ende Atmosphäre </w:t>
      </w:r>
      <w:r w:rsidR="00D9660F">
        <w:rPr>
          <w:sz w:val="24"/>
          <w:szCs w:val="24"/>
        </w:rPr>
        <w:t>der Angst, Ei</w:t>
      </w:r>
      <w:r w:rsidR="00D9660F">
        <w:rPr>
          <w:sz w:val="24"/>
          <w:szCs w:val="24"/>
        </w:rPr>
        <w:t>n</w:t>
      </w:r>
      <w:r w:rsidR="00D9660F">
        <w:rPr>
          <w:sz w:val="24"/>
          <w:szCs w:val="24"/>
        </w:rPr>
        <w:t xml:space="preserve">schüchterung und </w:t>
      </w:r>
      <w:r w:rsidR="00FE33F4">
        <w:rPr>
          <w:sz w:val="24"/>
          <w:szCs w:val="24"/>
        </w:rPr>
        <w:t xml:space="preserve">der Denunziation erzeugten und wie </w:t>
      </w:r>
      <w:r w:rsidR="00072D80">
        <w:rPr>
          <w:sz w:val="24"/>
          <w:szCs w:val="24"/>
        </w:rPr>
        <w:t>s</w:t>
      </w:r>
      <w:r w:rsidR="00FE33F4">
        <w:rPr>
          <w:sz w:val="24"/>
          <w:szCs w:val="24"/>
        </w:rPr>
        <w:t xml:space="preserve">ie </w:t>
      </w:r>
      <w:r w:rsidR="00072D80">
        <w:rPr>
          <w:sz w:val="24"/>
          <w:szCs w:val="24"/>
        </w:rPr>
        <w:t>darüber hinaus auch</w:t>
      </w:r>
      <w:r w:rsidR="003B3BD9">
        <w:rPr>
          <w:sz w:val="24"/>
          <w:szCs w:val="24"/>
        </w:rPr>
        <w:t xml:space="preserve"> </w:t>
      </w:r>
      <w:r w:rsidR="007B688C">
        <w:rPr>
          <w:sz w:val="24"/>
          <w:szCs w:val="24"/>
        </w:rPr>
        <w:t>d</w:t>
      </w:r>
      <w:r w:rsidR="003B3BD9">
        <w:rPr>
          <w:sz w:val="24"/>
          <w:szCs w:val="24"/>
        </w:rPr>
        <w:t>as</w:t>
      </w:r>
      <w:r w:rsidR="007B688C">
        <w:rPr>
          <w:sz w:val="24"/>
          <w:szCs w:val="24"/>
        </w:rPr>
        <w:t xml:space="preserve"> </w:t>
      </w:r>
      <w:r w:rsidR="003B3BD9">
        <w:rPr>
          <w:sz w:val="24"/>
          <w:szCs w:val="24"/>
        </w:rPr>
        <w:t>Verhalten</w:t>
      </w:r>
      <w:r w:rsidR="007B688C">
        <w:rPr>
          <w:sz w:val="24"/>
          <w:szCs w:val="24"/>
        </w:rPr>
        <w:t xml:space="preserve"> der </w:t>
      </w:r>
      <w:r w:rsidR="008F5B21">
        <w:rPr>
          <w:sz w:val="24"/>
          <w:szCs w:val="24"/>
        </w:rPr>
        <w:t>in der Sowjetunion lebenden deutschen</w:t>
      </w:r>
      <w:r w:rsidR="007B688C">
        <w:rPr>
          <w:sz w:val="24"/>
          <w:szCs w:val="24"/>
        </w:rPr>
        <w:t xml:space="preserve"> Schriftsteller beeinflusste.</w:t>
      </w:r>
      <w:r>
        <w:rPr>
          <w:sz w:val="24"/>
          <w:szCs w:val="24"/>
        </w:rPr>
        <w:t xml:space="preserve"> </w:t>
      </w:r>
      <w:r w:rsidR="00F54060">
        <w:rPr>
          <w:sz w:val="24"/>
          <w:szCs w:val="24"/>
        </w:rPr>
        <w:t>Aus de</w:t>
      </w:r>
      <w:r w:rsidR="00072D80">
        <w:rPr>
          <w:sz w:val="24"/>
          <w:szCs w:val="24"/>
        </w:rPr>
        <w:t>n widersprüchl</w:t>
      </w:r>
      <w:r w:rsidR="00072D80">
        <w:rPr>
          <w:sz w:val="24"/>
          <w:szCs w:val="24"/>
        </w:rPr>
        <w:t>i</w:t>
      </w:r>
      <w:r w:rsidR="00072D80">
        <w:rPr>
          <w:sz w:val="24"/>
          <w:szCs w:val="24"/>
        </w:rPr>
        <w:t>chen, lückenhaften Informationen</w:t>
      </w:r>
      <w:r w:rsidR="00F54060">
        <w:rPr>
          <w:sz w:val="24"/>
          <w:szCs w:val="24"/>
        </w:rPr>
        <w:t xml:space="preserve"> resultierten</w:t>
      </w:r>
      <w:r w:rsidR="00302A07">
        <w:rPr>
          <w:sz w:val="24"/>
          <w:szCs w:val="24"/>
        </w:rPr>
        <w:t xml:space="preserve"> Kontroversen </w:t>
      </w:r>
      <w:r w:rsidR="00072D80">
        <w:rPr>
          <w:sz w:val="24"/>
          <w:szCs w:val="24"/>
        </w:rPr>
        <w:t>über</w:t>
      </w:r>
      <w:r w:rsidR="00302A07">
        <w:rPr>
          <w:sz w:val="24"/>
          <w:szCs w:val="24"/>
        </w:rPr>
        <w:t xml:space="preserve"> das </w:t>
      </w:r>
      <w:r w:rsidR="00F54060">
        <w:rPr>
          <w:sz w:val="24"/>
          <w:szCs w:val="24"/>
        </w:rPr>
        <w:t>Exil in der Sowjetunion</w:t>
      </w:r>
      <w:r w:rsidR="003F3C84">
        <w:rPr>
          <w:sz w:val="24"/>
          <w:szCs w:val="24"/>
        </w:rPr>
        <w:t xml:space="preserve"> und die dort entstandene literarische Produktion</w:t>
      </w:r>
      <w:r w:rsidR="00072D80">
        <w:rPr>
          <w:sz w:val="24"/>
          <w:szCs w:val="24"/>
        </w:rPr>
        <w:t>, d</w:t>
      </w:r>
      <w:r w:rsidR="00302A07">
        <w:rPr>
          <w:sz w:val="24"/>
          <w:szCs w:val="24"/>
        </w:rPr>
        <w:t xml:space="preserve">ie </w:t>
      </w:r>
      <w:r w:rsidR="000F3B28">
        <w:rPr>
          <w:sz w:val="24"/>
          <w:szCs w:val="24"/>
        </w:rPr>
        <w:t>später</w:t>
      </w:r>
      <w:r w:rsidR="008F1D91">
        <w:rPr>
          <w:sz w:val="24"/>
          <w:szCs w:val="24"/>
        </w:rPr>
        <w:t xml:space="preserve"> </w:t>
      </w:r>
      <w:r w:rsidR="00E954AF">
        <w:rPr>
          <w:sz w:val="24"/>
          <w:szCs w:val="24"/>
        </w:rPr>
        <w:t>j</w:t>
      </w:r>
      <w:r w:rsidR="00302A07">
        <w:rPr>
          <w:sz w:val="24"/>
          <w:szCs w:val="24"/>
        </w:rPr>
        <w:t>ahrzehntelang die Forschung b</w:t>
      </w:r>
      <w:r w:rsidR="00302A07">
        <w:rPr>
          <w:sz w:val="24"/>
          <w:szCs w:val="24"/>
        </w:rPr>
        <w:t>e</w:t>
      </w:r>
      <w:r w:rsidR="00302A07">
        <w:rPr>
          <w:sz w:val="24"/>
          <w:szCs w:val="24"/>
        </w:rPr>
        <w:t>herrschten</w:t>
      </w:r>
      <w:r w:rsidR="00A30606">
        <w:rPr>
          <w:sz w:val="24"/>
          <w:szCs w:val="24"/>
        </w:rPr>
        <w:t>,</w:t>
      </w:r>
      <w:r w:rsidR="00302A07">
        <w:rPr>
          <w:sz w:val="24"/>
          <w:szCs w:val="24"/>
        </w:rPr>
        <w:t xml:space="preserve"> z.T. </w:t>
      </w:r>
      <w:r w:rsidR="00A30606">
        <w:rPr>
          <w:sz w:val="24"/>
          <w:szCs w:val="24"/>
        </w:rPr>
        <w:t xml:space="preserve">sogar </w:t>
      </w:r>
      <w:r w:rsidR="00302A07">
        <w:rPr>
          <w:sz w:val="24"/>
          <w:szCs w:val="24"/>
        </w:rPr>
        <w:t>paralysierten.</w:t>
      </w:r>
      <w:r w:rsidR="00F54060">
        <w:rPr>
          <w:rStyle w:val="Funotenzeichen"/>
          <w:sz w:val="24"/>
          <w:szCs w:val="24"/>
        </w:rPr>
        <w:footnoteReference w:id="3"/>
      </w:r>
      <w:r w:rsidR="00D9660F">
        <w:rPr>
          <w:sz w:val="24"/>
          <w:szCs w:val="24"/>
        </w:rPr>
        <w:t xml:space="preserve"> Hier trafen extrem unterschiedliche Urteile aufeinander, ohne dass gemeinsame Ver</w:t>
      </w:r>
      <w:r w:rsidR="003F3C84">
        <w:rPr>
          <w:sz w:val="24"/>
          <w:szCs w:val="24"/>
        </w:rPr>
        <w:t>ständigun</w:t>
      </w:r>
      <w:r w:rsidR="00D9660F">
        <w:rPr>
          <w:sz w:val="24"/>
          <w:szCs w:val="24"/>
        </w:rPr>
        <w:t>gslinien erkennbar wurden.</w:t>
      </w:r>
    </w:p>
    <w:p w:rsidR="008F1D91" w:rsidRDefault="008F1D91" w:rsidP="00A046FA">
      <w:pPr>
        <w:spacing w:after="0"/>
        <w:jc w:val="both"/>
        <w:rPr>
          <w:sz w:val="24"/>
          <w:szCs w:val="24"/>
        </w:rPr>
      </w:pPr>
    </w:p>
    <w:p w:rsidR="00026431" w:rsidRDefault="00FE33F4" w:rsidP="00A046FA">
      <w:pPr>
        <w:spacing w:after="0"/>
        <w:jc w:val="both"/>
        <w:rPr>
          <w:sz w:val="24"/>
          <w:szCs w:val="24"/>
        </w:rPr>
      </w:pPr>
      <w:r>
        <w:rPr>
          <w:sz w:val="24"/>
          <w:szCs w:val="24"/>
        </w:rPr>
        <w:tab/>
      </w:r>
      <w:r w:rsidR="007B688C">
        <w:rPr>
          <w:sz w:val="24"/>
          <w:szCs w:val="24"/>
        </w:rPr>
        <w:t xml:space="preserve">Der Kenntnisstand </w:t>
      </w:r>
      <w:r w:rsidR="008F1D91">
        <w:rPr>
          <w:sz w:val="24"/>
          <w:szCs w:val="24"/>
        </w:rPr>
        <w:t xml:space="preserve">der literaturwissenschaftlichen Exilforschung </w:t>
      </w:r>
      <w:r w:rsidR="00302A07">
        <w:rPr>
          <w:sz w:val="24"/>
          <w:szCs w:val="24"/>
        </w:rPr>
        <w:t>über die Auswirku</w:t>
      </w:r>
      <w:r w:rsidR="00302A07">
        <w:rPr>
          <w:sz w:val="24"/>
          <w:szCs w:val="24"/>
        </w:rPr>
        <w:t>n</w:t>
      </w:r>
      <w:r w:rsidR="00302A07">
        <w:rPr>
          <w:sz w:val="24"/>
          <w:szCs w:val="24"/>
        </w:rPr>
        <w:t xml:space="preserve">gen der „Säuberungen“ auf das Moskauer Schriftstellerexil </w:t>
      </w:r>
      <w:r w:rsidR="007B688C">
        <w:rPr>
          <w:sz w:val="24"/>
          <w:szCs w:val="24"/>
        </w:rPr>
        <w:t xml:space="preserve">veränderte sich grundlegend, als </w:t>
      </w:r>
      <w:r w:rsidR="00302A07">
        <w:rPr>
          <w:sz w:val="24"/>
          <w:szCs w:val="24"/>
        </w:rPr>
        <w:t xml:space="preserve">1990 </w:t>
      </w:r>
      <w:r w:rsidR="006E0F4C">
        <w:rPr>
          <w:sz w:val="24"/>
          <w:szCs w:val="24"/>
        </w:rPr>
        <w:t xml:space="preserve">der </w:t>
      </w:r>
      <w:r w:rsidR="007B688C">
        <w:rPr>
          <w:sz w:val="24"/>
          <w:szCs w:val="24"/>
        </w:rPr>
        <w:t xml:space="preserve">Hamburger Historiker Reinhard Müller </w:t>
      </w:r>
      <w:r w:rsidR="00026431">
        <w:rPr>
          <w:sz w:val="24"/>
          <w:szCs w:val="24"/>
        </w:rPr>
        <w:t xml:space="preserve">bei Recherchen in </w:t>
      </w:r>
      <w:r w:rsidR="000F3B28">
        <w:rPr>
          <w:sz w:val="24"/>
          <w:szCs w:val="24"/>
        </w:rPr>
        <w:t xml:space="preserve">den </w:t>
      </w:r>
      <w:r w:rsidR="00026431">
        <w:rPr>
          <w:sz w:val="24"/>
          <w:szCs w:val="24"/>
        </w:rPr>
        <w:t xml:space="preserve">Moskauer Archiven </w:t>
      </w:r>
      <w:r w:rsidR="000F3B28">
        <w:rPr>
          <w:sz w:val="24"/>
          <w:szCs w:val="24"/>
        </w:rPr>
        <w:t xml:space="preserve">auf </w:t>
      </w:r>
      <w:r w:rsidR="00026431">
        <w:rPr>
          <w:sz w:val="24"/>
          <w:szCs w:val="24"/>
        </w:rPr>
        <w:t>das Wortprotokoll einer sog</w:t>
      </w:r>
      <w:r w:rsidR="003F3E87">
        <w:rPr>
          <w:sz w:val="24"/>
          <w:szCs w:val="24"/>
        </w:rPr>
        <w:t>enannten</w:t>
      </w:r>
      <w:r w:rsidR="00026431">
        <w:rPr>
          <w:sz w:val="24"/>
          <w:szCs w:val="24"/>
        </w:rPr>
        <w:t xml:space="preserve"> „geschlossenen Parteiversammlung“ der </w:t>
      </w:r>
      <w:r w:rsidR="0028089A">
        <w:rPr>
          <w:sz w:val="24"/>
          <w:szCs w:val="24"/>
        </w:rPr>
        <w:t>„</w:t>
      </w:r>
      <w:r w:rsidR="00026431">
        <w:rPr>
          <w:sz w:val="24"/>
          <w:szCs w:val="24"/>
        </w:rPr>
        <w:t>deutschen Kommission</w:t>
      </w:r>
      <w:r w:rsidR="0028089A">
        <w:rPr>
          <w:sz w:val="24"/>
          <w:szCs w:val="24"/>
        </w:rPr>
        <w:t>“</w:t>
      </w:r>
      <w:r w:rsidR="00026431">
        <w:rPr>
          <w:sz w:val="24"/>
          <w:szCs w:val="24"/>
        </w:rPr>
        <w:t xml:space="preserve"> </w:t>
      </w:r>
      <w:r w:rsidR="000F3B28">
        <w:rPr>
          <w:sz w:val="24"/>
          <w:szCs w:val="24"/>
        </w:rPr>
        <w:t>des sowjetischen Schriftstellerverbandes stieß</w:t>
      </w:r>
      <w:r w:rsidR="00302A07">
        <w:rPr>
          <w:sz w:val="24"/>
          <w:szCs w:val="24"/>
        </w:rPr>
        <w:t>.</w:t>
      </w:r>
      <w:r w:rsidR="00302A07">
        <w:rPr>
          <w:rStyle w:val="Funotenzeichen"/>
          <w:sz w:val="24"/>
          <w:szCs w:val="24"/>
        </w:rPr>
        <w:footnoteReference w:id="4"/>
      </w:r>
      <w:r w:rsidR="00302A07">
        <w:rPr>
          <w:sz w:val="24"/>
          <w:szCs w:val="24"/>
        </w:rPr>
        <w:t xml:space="preserve"> </w:t>
      </w:r>
      <w:r w:rsidR="002C329A">
        <w:rPr>
          <w:sz w:val="24"/>
          <w:szCs w:val="24"/>
        </w:rPr>
        <w:t>Es handelte sich um eine</w:t>
      </w:r>
      <w:r w:rsidR="00026431">
        <w:rPr>
          <w:sz w:val="24"/>
          <w:szCs w:val="24"/>
        </w:rPr>
        <w:t xml:space="preserve"> </w:t>
      </w:r>
      <w:r w:rsidR="002C329A">
        <w:rPr>
          <w:sz w:val="24"/>
          <w:szCs w:val="24"/>
        </w:rPr>
        <w:t>Ve</w:t>
      </w:r>
      <w:r w:rsidR="002C329A">
        <w:rPr>
          <w:sz w:val="24"/>
          <w:szCs w:val="24"/>
        </w:rPr>
        <w:t>r</w:t>
      </w:r>
      <w:r w:rsidR="002C329A">
        <w:rPr>
          <w:sz w:val="24"/>
          <w:szCs w:val="24"/>
        </w:rPr>
        <w:t>anstaltu</w:t>
      </w:r>
      <w:r w:rsidR="00026431">
        <w:rPr>
          <w:sz w:val="24"/>
          <w:szCs w:val="24"/>
        </w:rPr>
        <w:t>ng</w:t>
      </w:r>
      <w:r w:rsidR="002C329A">
        <w:rPr>
          <w:sz w:val="24"/>
          <w:szCs w:val="24"/>
        </w:rPr>
        <w:t xml:space="preserve">, die in unmittelbar zeitlicher Nähe zum </w:t>
      </w:r>
      <w:r w:rsidR="00856EF1">
        <w:rPr>
          <w:sz w:val="24"/>
          <w:szCs w:val="24"/>
        </w:rPr>
        <w:t>1. Moskauer Prozess, dem</w:t>
      </w:r>
      <w:r w:rsidR="00856EF1" w:rsidRPr="002C329A">
        <w:rPr>
          <w:sz w:val="24"/>
          <w:szCs w:val="24"/>
        </w:rPr>
        <w:t xml:space="preserve"> </w:t>
      </w:r>
      <w:r w:rsidR="002C329A" w:rsidRPr="002C329A">
        <w:rPr>
          <w:sz w:val="24"/>
          <w:szCs w:val="24"/>
        </w:rPr>
        <w:t xml:space="preserve">Prozess gegen das </w:t>
      </w:r>
      <w:r w:rsidR="002C329A">
        <w:rPr>
          <w:sz w:val="24"/>
          <w:szCs w:val="24"/>
        </w:rPr>
        <w:t>„</w:t>
      </w:r>
      <w:r w:rsidR="002C329A" w:rsidRPr="002C329A">
        <w:rPr>
          <w:sz w:val="24"/>
          <w:szCs w:val="24"/>
        </w:rPr>
        <w:t>trotzkistisch-</w:t>
      </w:r>
      <w:proofErr w:type="spellStart"/>
      <w:r w:rsidR="002C329A" w:rsidRPr="002C329A">
        <w:rPr>
          <w:sz w:val="24"/>
          <w:szCs w:val="24"/>
        </w:rPr>
        <w:t>sinowjewistische</w:t>
      </w:r>
      <w:proofErr w:type="spellEnd"/>
      <w:r w:rsidR="002C329A" w:rsidRPr="002C329A">
        <w:rPr>
          <w:sz w:val="24"/>
          <w:szCs w:val="24"/>
        </w:rPr>
        <w:t xml:space="preserve"> terroristische Zentrum</w:t>
      </w:r>
      <w:r w:rsidR="002C329A">
        <w:rPr>
          <w:sz w:val="24"/>
          <w:szCs w:val="24"/>
        </w:rPr>
        <w:t xml:space="preserve">“ (19. </w:t>
      </w:r>
      <w:r w:rsidR="00856EF1">
        <w:rPr>
          <w:sz w:val="24"/>
          <w:szCs w:val="24"/>
        </w:rPr>
        <w:t>b</w:t>
      </w:r>
      <w:r w:rsidR="002C329A">
        <w:rPr>
          <w:sz w:val="24"/>
          <w:szCs w:val="24"/>
        </w:rPr>
        <w:t>is 24. August 1936)</w:t>
      </w:r>
      <w:r w:rsidR="00856EF1">
        <w:rPr>
          <w:sz w:val="24"/>
          <w:szCs w:val="24"/>
        </w:rPr>
        <w:t xml:space="preserve">, </w:t>
      </w:r>
      <w:r w:rsidR="002C329A">
        <w:rPr>
          <w:sz w:val="24"/>
          <w:szCs w:val="24"/>
        </w:rPr>
        <w:t>stattg</w:t>
      </w:r>
      <w:r w:rsidR="002C329A">
        <w:rPr>
          <w:sz w:val="24"/>
          <w:szCs w:val="24"/>
        </w:rPr>
        <w:t>e</w:t>
      </w:r>
      <w:r w:rsidR="00026431" w:rsidRPr="002C329A">
        <w:rPr>
          <w:sz w:val="24"/>
          <w:szCs w:val="24"/>
        </w:rPr>
        <w:t>f</w:t>
      </w:r>
      <w:r w:rsidR="002C329A">
        <w:rPr>
          <w:sz w:val="24"/>
          <w:szCs w:val="24"/>
        </w:rPr>
        <w:t>u</w:t>
      </w:r>
      <w:r w:rsidR="00026431">
        <w:rPr>
          <w:sz w:val="24"/>
          <w:szCs w:val="24"/>
        </w:rPr>
        <w:t>nd</w:t>
      </w:r>
      <w:r w:rsidR="002C329A">
        <w:rPr>
          <w:sz w:val="24"/>
          <w:szCs w:val="24"/>
        </w:rPr>
        <w:t xml:space="preserve">en </w:t>
      </w:r>
      <w:r w:rsidR="00B37FE4">
        <w:rPr>
          <w:sz w:val="24"/>
          <w:szCs w:val="24"/>
        </w:rPr>
        <w:t>und</w:t>
      </w:r>
      <w:r w:rsidR="00856EF1">
        <w:rPr>
          <w:sz w:val="24"/>
          <w:szCs w:val="24"/>
        </w:rPr>
        <w:t xml:space="preserve"> </w:t>
      </w:r>
      <w:r w:rsidR="002C329A">
        <w:rPr>
          <w:sz w:val="24"/>
          <w:szCs w:val="24"/>
        </w:rPr>
        <w:t xml:space="preserve">sich über vier Tage </w:t>
      </w:r>
      <w:r w:rsidR="00856EF1">
        <w:rPr>
          <w:sz w:val="24"/>
          <w:szCs w:val="24"/>
        </w:rPr>
        <w:t>–</w:t>
      </w:r>
      <w:r w:rsidR="002C329A">
        <w:rPr>
          <w:sz w:val="24"/>
          <w:szCs w:val="24"/>
        </w:rPr>
        <w:t xml:space="preserve"> </w:t>
      </w:r>
      <w:r w:rsidR="00856EF1">
        <w:rPr>
          <w:sz w:val="24"/>
          <w:szCs w:val="24"/>
        </w:rPr>
        <w:t>v</w:t>
      </w:r>
      <w:r w:rsidR="00026431">
        <w:rPr>
          <w:sz w:val="24"/>
          <w:szCs w:val="24"/>
        </w:rPr>
        <w:t xml:space="preserve">om 4. </w:t>
      </w:r>
      <w:r w:rsidR="0028089A">
        <w:rPr>
          <w:sz w:val="24"/>
          <w:szCs w:val="24"/>
        </w:rPr>
        <w:t>b</w:t>
      </w:r>
      <w:r w:rsidR="00026431">
        <w:rPr>
          <w:sz w:val="24"/>
          <w:szCs w:val="24"/>
        </w:rPr>
        <w:t xml:space="preserve">is </w:t>
      </w:r>
      <w:r w:rsidR="0028089A">
        <w:rPr>
          <w:sz w:val="24"/>
          <w:szCs w:val="24"/>
        </w:rPr>
        <w:t xml:space="preserve">zum </w:t>
      </w:r>
      <w:r w:rsidR="00026431">
        <w:rPr>
          <w:sz w:val="24"/>
          <w:szCs w:val="24"/>
        </w:rPr>
        <w:t>8. September</w:t>
      </w:r>
      <w:r w:rsidR="00B37FE4">
        <w:rPr>
          <w:sz w:val="24"/>
          <w:szCs w:val="24"/>
        </w:rPr>
        <w:t>,</w:t>
      </w:r>
      <w:r w:rsidR="00856EF1">
        <w:rPr>
          <w:sz w:val="24"/>
          <w:szCs w:val="24"/>
        </w:rPr>
        <w:t xml:space="preserve"> </w:t>
      </w:r>
      <w:r w:rsidR="00026431">
        <w:rPr>
          <w:sz w:val="24"/>
          <w:szCs w:val="24"/>
        </w:rPr>
        <w:t>jeweils vom Spätnachmittag bis in die frühen Morgenstunden des nachfolgenden Tages</w:t>
      </w:r>
      <w:r w:rsidR="00856EF1" w:rsidRPr="00856EF1">
        <w:rPr>
          <w:sz w:val="24"/>
          <w:szCs w:val="24"/>
        </w:rPr>
        <w:t xml:space="preserve"> </w:t>
      </w:r>
      <w:r w:rsidR="00B37FE4">
        <w:rPr>
          <w:sz w:val="24"/>
          <w:szCs w:val="24"/>
        </w:rPr>
        <w:t xml:space="preserve">– </w:t>
      </w:r>
      <w:r w:rsidR="00856EF1">
        <w:rPr>
          <w:sz w:val="24"/>
          <w:szCs w:val="24"/>
        </w:rPr>
        <w:t>erstreckt</w:t>
      </w:r>
      <w:r w:rsidR="00B37FE4">
        <w:rPr>
          <w:sz w:val="24"/>
          <w:szCs w:val="24"/>
        </w:rPr>
        <w:t xml:space="preserve"> hatt</w:t>
      </w:r>
      <w:r w:rsidR="00856EF1">
        <w:rPr>
          <w:sz w:val="24"/>
          <w:szCs w:val="24"/>
        </w:rPr>
        <w:t>e</w:t>
      </w:r>
      <w:r w:rsidR="00026431">
        <w:rPr>
          <w:sz w:val="24"/>
          <w:szCs w:val="24"/>
        </w:rPr>
        <w:t xml:space="preserve">. An ihr nahmen – um die wichtigsten Teilnehmer zu nennen – Johannes R. Becher, Willi </w:t>
      </w:r>
      <w:proofErr w:type="spellStart"/>
      <w:r w:rsidR="00026431">
        <w:rPr>
          <w:sz w:val="24"/>
          <w:szCs w:val="24"/>
        </w:rPr>
        <w:t>Bredel</w:t>
      </w:r>
      <w:proofErr w:type="spellEnd"/>
      <w:r w:rsidR="00026431">
        <w:rPr>
          <w:sz w:val="24"/>
          <w:szCs w:val="24"/>
        </w:rPr>
        <w:t xml:space="preserve">, Ernst </w:t>
      </w:r>
      <w:proofErr w:type="spellStart"/>
      <w:r w:rsidR="00026431">
        <w:rPr>
          <w:sz w:val="24"/>
          <w:szCs w:val="24"/>
        </w:rPr>
        <w:t>Fabri</w:t>
      </w:r>
      <w:proofErr w:type="spellEnd"/>
      <w:r w:rsidR="00026431">
        <w:rPr>
          <w:sz w:val="24"/>
          <w:szCs w:val="24"/>
        </w:rPr>
        <w:t xml:space="preserve">, Andor Gabor, Hans Günther, Julius Hay, Hugo </w:t>
      </w:r>
      <w:proofErr w:type="spellStart"/>
      <w:r w:rsidR="00026431">
        <w:rPr>
          <w:sz w:val="24"/>
          <w:szCs w:val="24"/>
        </w:rPr>
        <w:t>Huppert</w:t>
      </w:r>
      <w:proofErr w:type="spellEnd"/>
      <w:r w:rsidR="00026431">
        <w:rPr>
          <w:sz w:val="24"/>
          <w:szCs w:val="24"/>
        </w:rPr>
        <w:t xml:space="preserve">, Alfred </w:t>
      </w:r>
      <w:proofErr w:type="spellStart"/>
      <w:r w:rsidR="00026431">
        <w:rPr>
          <w:sz w:val="24"/>
          <w:szCs w:val="24"/>
        </w:rPr>
        <w:t>Kurella</w:t>
      </w:r>
      <w:proofErr w:type="spellEnd"/>
      <w:r w:rsidR="00026431">
        <w:rPr>
          <w:sz w:val="24"/>
          <w:szCs w:val="24"/>
        </w:rPr>
        <w:t xml:space="preserve">, Georg Lukács, Ernst </w:t>
      </w:r>
      <w:proofErr w:type="spellStart"/>
      <w:r w:rsidR="00026431">
        <w:rPr>
          <w:sz w:val="24"/>
          <w:szCs w:val="24"/>
        </w:rPr>
        <w:t>Ottwalt</w:t>
      </w:r>
      <w:proofErr w:type="spellEnd"/>
      <w:r w:rsidR="00026431">
        <w:rPr>
          <w:sz w:val="24"/>
          <w:szCs w:val="24"/>
        </w:rPr>
        <w:t>, Gustav Regler (als Gast), Gustav von Wangenheim, Erich Weiner</w:t>
      </w:r>
      <w:r w:rsidR="00B37FE4">
        <w:rPr>
          <w:sz w:val="24"/>
          <w:szCs w:val="24"/>
        </w:rPr>
        <w:t>t</w:t>
      </w:r>
      <w:r w:rsidR="00026431">
        <w:rPr>
          <w:sz w:val="24"/>
          <w:szCs w:val="24"/>
        </w:rPr>
        <w:t xml:space="preserve"> und Friedrich Wolf teil. Die Leitung der Versammlung la</w:t>
      </w:r>
      <w:r w:rsidR="0028089A">
        <w:rPr>
          <w:sz w:val="24"/>
          <w:szCs w:val="24"/>
        </w:rPr>
        <w:t>g</w:t>
      </w:r>
      <w:r w:rsidR="00026431">
        <w:rPr>
          <w:sz w:val="24"/>
          <w:szCs w:val="24"/>
        </w:rPr>
        <w:t xml:space="preserve"> bei Alexander </w:t>
      </w:r>
      <w:proofErr w:type="spellStart"/>
      <w:r w:rsidR="00026431">
        <w:rPr>
          <w:sz w:val="24"/>
          <w:szCs w:val="24"/>
        </w:rPr>
        <w:t>Barta</w:t>
      </w:r>
      <w:proofErr w:type="spellEnd"/>
      <w:r w:rsidR="00026431">
        <w:rPr>
          <w:sz w:val="24"/>
          <w:szCs w:val="24"/>
        </w:rPr>
        <w:t xml:space="preserve">, einem </w:t>
      </w:r>
      <w:r w:rsidR="00B37FE4">
        <w:rPr>
          <w:sz w:val="24"/>
          <w:szCs w:val="24"/>
        </w:rPr>
        <w:t>Ungarn</w:t>
      </w:r>
      <w:r w:rsidR="00026431">
        <w:rPr>
          <w:sz w:val="24"/>
          <w:szCs w:val="24"/>
        </w:rPr>
        <w:t>. Die Vertr</w:t>
      </w:r>
      <w:r w:rsidR="00026431">
        <w:rPr>
          <w:sz w:val="24"/>
          <w:szCs w:val="24"/>
        </w:rPr>
        <w:t>e</w:t>
      </w:r>
      <w:r w:rsidR="00026431">
        <w:rPr>
          <w:sz w:val="24"/>
          <w:szCs w:val="24"/>
        </w:rPr>
        <w:t xml:space="preserve">ter der Komintern bzw. der KPD waren Heinrich </w:t>
      </w:r>
      <w:proofErr w:type="spellStart"/>
      <w:r w:rsidR="00026431">
        <w:rPr>
          <w:sz w:val="24"/>
          <w:szCs w:val="24"/>
        </w:rPr>
        <w:t>Wiatrek</w:t>
      </w:r>
      <w:proofErr w:type="spellEnd"/>
      <w:r w:rsidR="00026431">
        <w:rPr>
          <w:sz w:val="24"/>
          <w:szCs w:val="24"/>
        </w:rPr>
        <w:t xml:space="preserve"> (Deckname „Weber“) und Heinrich Meyer (Deckname „Most“). Das Protokoll hat den Umfang von rd. 550 anderthalbzeilig b</w:t>
      </w:r>
      <w:r w:rsidR="00026431">
        <w:rPr>
          <w:sz w:val="24"/>
          <w:szCs w:val="24"/>
        </w:rPr>
        <w:t>e</w:t>
      </w:r>
      <w:r w:rsidR="00026431">
        <w:rPr>
          <w:sz w:val="24"/>
          <w:szCs w:val="24"/>
        </w:rPr>
        <w:lastRenderedPageBreak/>
        <w:t xml:space="preserve">schriebenen Seiten; es </w:t>
      </w:r>
      <w:r w:rsidR="0028089A">
        <w:rPr>
          <w:sz w:val="24"/>
          <w:szCs w:val="24"/>
        </w:rPr>
        <w:t>handel</w:t>
      </w:r>
      <w:r w:rsidR="00026431">
        <w:rPr>
          <w:sz w:val="24"/>
          <w:szCs w:val="24"/>
        </w:rPr>
        <w:t>t</w:t>
      </w:r>
      <w:r w:rsidR="0028089A">
        <w:rPr>
          <w:sz w:val="24"/>
          <w:szCs w:val="24"/>
        </w:rPr>
        <w:t xml:space="preserve"> sich</w:t>
      </w:r>
      <w:r w:rsidR="00026431">
        <w:rPr>
          <w:sz w:val="24"/>
          <w:szCs w:val="24"/>
        </w:rPr>
        <w:t xml:space="preserve"> also </w:t>
      </w:r>
      <w:r w:rsidR="003F3E87">
        <w:rPr>
          <w:sz w:val="24"/>
          <w:szCs w:val="24"/>
        </w:rPr>
        <w:t>allein</w:t>
      </w:r>
      <w:r w:rsidR="00026431">
        <w:rPr>
          <w:sz w:val="24"/>
          <w:szCs w:val="24"/>
        </w:rPr>
        <w:t xml:space="preserve"> aufgrund </w:t>
      </w:r>
      <w:r w:rsidR="0028089A">
        <w:rPr>
          <w:sz w:val="24"/>
          <w:szCs w:val="24"/>
        </w:rPr>
        <w:t>sein</w:t>
      </w:r>
      <w:r w:rsidR="00026431">
        <w:rPr>
          <w:sz w:val="24"/>
          <w:szCs w:val="24"/>
        </w:rPr>
        <w:t xml:space="preserve">es Umfangs </w:t>
      </w:r>
      <w:r w:rsidR="0028089A">
        <w:rPr>
          <w:sz w:val="24"/>
          <w:szCs w:val="24"/>
        </w:rPr>
        <w:t xml:space="preserve">um </w:t>
      </w:r>
      <w:r w:rsidR="00026431">
        <w:rPr>
          <w:sz w:val="24"/>
          <w:szCs w:val="24"/>
        </w:rPr>
        <w:t>ein ungewöhnl</w:t>
      </w:r>
      <w:r w:rsidR="00026431">
        <w:rPr>
          <w:sz w:val="24"/>
          <w:szCs w:val="24"/>
        </w:rPr>
        <w:t>i</w:t>
      </w:r>
      <w:r w:rsidR="00026431">
        <w:rPr>
          <w:sz w:val="24"/>
          <w:szCs w:val="24"/>
        </w:rPr>
        <w:t>ches Dokument.</w:t>
      </w:r>
      <w:r w:rsidR="00856EF1">
        <w:rPr>
          <w:rStyle w:val="Funotenzeichen"/>
          <w:sz w:val="24"/>
          <w:szCs w:val="24"/>
        </w:rPr>
        <w:footnoteReference w:id="5"/>
      </w:r>
    </w:p>
    <w:p w:rsidR="00D37A9D" w:rsidRDefault="00D37A9D" w:rsidP="00A046FA">
      <w:pPr>
        <w:spacing w:after="0"/>
        <w:jc w:val="both"/>
        <w:rPr>
          <w:sz w:val="24"/>
          <w:szCs w:val="24"/>
        </w:rPr>
      </w:pPr>
      <w:r>
        <w:rPr>
          <w:sz w:val="24"/>
          <w:szCs w:val="24"/>
        </w:rPr>
        <w:tab/>
        <w:t xml:space="preserve">Von der Existenz und den Themen </w:t>
      </w:r>
      <w:r w:rsidR="0088765B">
        <w:rPr>
          <w:sz w:val="24"/>
          <w:szCs w:val="24"/>
        </w:rPr>
        <w:t>derartig</w:t>
      </w:r>
      <w:r>
        <w:rPr>
          <w:sz w:val="24"/>
          <w:szCs w:val="24"/>
        </w:rPr>
        <w:t>er Parteiversammlungen hatte die Fo</w:t>
      </w:r>
      <w:r>
        <w:rPr>
          <w:sz w:val="24"/>
          <w:szCs w:val="24"/>
        </w:rPr>
        <w:t>r</w:t>
      </w:r>
      <w:r>
        <w:rPr>
          <w:sz w:val="24"/>
          <w:szCs w:val="24"/>
        </w:rPr>
        <w:t xml:space="preserve">schung zuvor nur </w:t>
      </w:r>
      <w:r w:rsidR="00D9660F">
        <w:rPr>
          <w:sz w:val="24"/>
          <w:szCs w:val="24"/>
        </w:rPr>
        <w:t>vag</w:t>
      </w:r>
      <w:r>
        <w:rPr>
          <w:sz w:val="24"/>
          <w:szCs w:val="24"/>
        </w:rPr>
        <w:t>e Kenntnis</w:t>
      </w:r>
      <w:r w:rsidR="00D9660F">
        <w:rPr>
          <w:sz w:val="24"/>
          <w:szCs w:val="24"/>
        </w:rPr>
        <w:t xml:space="preserve"> gehabt</w:t>
      </w:r>
      <w:r>
        <w:rPr>
          <w:sz w:val="24"/>
          <w:szCs w:val="24"/>
        </w:rPr>
        <w:t>. In den einschlägigen Biografien finde</w:t>
      </w:r>
      <w:r w:rsidR="007B028F">
        <w:rPr>
          <w:sz w:val="24"/>
          <w:szCs w:val="24"/>
        </w:rPr>
        <w:t>n</w:t>
      </w:r>
      <w:r>
        <w:rPr>
          <w:sz w:val="24"/>
          <w:szCs w:val="24"/>
        </w:rPr>
        <w:t xml:space="preserve"> sie allenfalls indirekt Erwähnung. Der einzig bekannte Bericht über die hier dokumentierte Veranstaltung stammt von Gustav Regler,</w:t>
      </w:r>
      <w:r>
        <w:rPr>
          <w:rStyle w:val="Funotenzeichen"/>
          <w:sz w:val="24"/>
          <w:szCs w:val="24"/>
        </w:rPr>
        <w:footnoteReference w:id="6"/>
      </w:r>
      <w:r>
        <w:rPr>
          <w:sz w:val="24"/>
          <w:szCs w:val="24"/>
        </w:rPr>
        <w:t xml:space="preserve"> und auch er vermittelt einen nur vagen Eindruck vom Ablauf des Geschehens und den diskutierten Fragen. Die tatsächliche Bedeutung der Versammlung wird erst aufgrund des von Müller entdeckten und publizierten Protokolls </w:t>
      </w:r>
      <w:r w:rsidR="0020537F">
        <w:rPr>
          <w:sz w:val="24"/>
          <w:szCs w:val="24"/>
        </w:rPr>
        <w:t>erkennbar</w:t>
      </w:r>
      <w:r w:rsidR="00856EF1">
        <w:rPr>
          <w:sz w:val="24"/>
          <w:szCs w:val="24"/>
        </w:rPr>
        <w:t>.</w:t>
      </w:r>
    </w:p>
    <w:p w:rsidR="002F782D" w:rsidRDefault="001013E5" w:rsidP="00A046FA">
      <w:pPr>
        <w:spacing w:after="0"/>
        <w:jc w:val="both"/>
        <w:rPr>
          <w:sz w:val="24"/>
          <w:szCs w:val="24"/>
        </w:rPr>
      </w:pPr>
      <w:r>
        <w:rPr>
          <w:sz w:val="24"/>
          <w:szCs w:val="24"/>
        </w:rPr>
        <w:tab/>
        <w:t xml:space="preserve">Dass Autoren wie Becher, </w:t>
      </w:r>
      <w:proofErr w:type="spellStart"/>
      <w:r>
        <w:rPr>
          <w:sz w:val="24"/>
          <w:szCs w:val="24"/>
        </w:rPr>
        <w:t>Bredel</w:t>
      </w:r>
      <w:proofErr w:type="spellEnd"/>
      <w:r>
        <w:rPr>
          <w:sz w:val="24"/>
          <w:szCs w:val="24"/>
        </w:rPr>
        <w:t xml:space="preserve">, Hay, </w:t>
      </w:r>
      <w:proofErr w:type="spellStart"/>
      <w:r>
        <w:rPr>
          <w:sz w:val="24"/>
          <w:szCs w:val="24"/>
        </w:rPr>
        <w:t>Huppert</w:t>
      </w:r>
      <w:proofErr w:type="spellEnd"/>
      <w:r>
        <w:rPr>
          <w:sz w:val="24"/>
          <w:szCs w:val="24"/>
        </w:rPr>
        <w:t>, Lukács oder Wolf dieses Treffen in späteren Jahren nicht erwähnt haben, ist keineswegs Zufall und auch nicht durch die per Pa</w:t>
      </w:r>
      <w:r>
        <w:rPr>
          <w:sz w:val="24"/>
          <w:szCs w:val="24"/>
        </w:rPr>
        <w:t>r</w:t>
      </w:r>
      <w:r>
        <w:rPr>
          <w:sz w:val="24"/>
          <w:szCs w:val="24"/>
        </w:rPr>
        <w:t xml:space="preserve">teistatut auferlegte Pflicht zu Verschwiegenheit über innerparteiliche Vorgänge zu erklären. Sie alle waren, wenn auch in unterschiedlicher </w:t>
      </w:r>
      <w:r w:rsidR="00C83852">
        <w:rPr>
          <w:sz w:val="24"/>
          <w:szCs w:val="24"/>
        </w:rPr>
        <w:t>Form</w:t>
      </w:r>
      <w:r>
        <w:rPr>
          <w:sz w:val="24"/>
          <w:szCs w:val="24"/>
        </w:rPr>
        <w:t>, auf ganz persönliche Weise in die d</w:t>
      </w:r>
      <w:r>
        <w:rPr>
          <w:sz w:val="24"/>
          <w:szCs w:val="24"/>
        </w:rPr>
        <w:t>a</w:t>
      </w:r>
      <w:r>
        <w:rPr>
          <w:sz w:val="24"/>
          <w:szCs w:val="24"/>
        </w:rPr>
        <w:t xml:space="preserve">maligen Vorgänge involviert. </w:t>
      </w:r>
      <w:r w:rsidR="00EC7A82">
        <w:rPr>
          <w:sz w:val="24"/>
          <w:szCs w:val="24"/>
        </w:rPr>
        <w:t xml:space="preserve">Sie unterlagen </w:t>
      </w:r>
      <w:r w:rsidR="0088765B">
        <w:rPr>
          <w:sz w:val="24"/>
          <w:szCs w:val="24"/>
        </w:rPr>
        <w:t xml:space="preserve">bei der Veranstaltung </w:t>
      </w:r>
      <w:r w:rsidR="00EC7A82">
        <w:rPr>
          <w:sz w:val="24"/>
          <w:szCs w:val="24"/>
        </w:rPr>
        <w:t xml:space="preserve">einem </w:t>
      </w:r>
      <w:r w:rsidR="0088765B">
        <w:rPr>
          <w:sz w:val="24"/>
          <w:szCs w:val="24"/>
        </w:rPr>
        <w:t xml:space="preserve">öffentlichen </w:t>
      </w:r>
      <w:r w:rsidR="00EC7A82">
        <w:rPr>
          <w:sz w:val="24"/>
          <w:szCs w:val="24"/>
        </w:rPr>
        <w:t>B</w:t>
      </w:r>
      <w:r w:rsidR="00EC7A82">
        <w:rPr>
          <w:sz w:val="24"/>
          <w:szCs w:val="24"/>
        </w:rPr>
        <w:t>e</w:t>
      </w:r>
      <w:r w:rsidR="00EC7A82">
        <w:rPr>
          <w:sz w:val="24"/>
          <w:szCs w:val="24"/>
        </w:rPr>
        <w:t xml:space="preserve">richts- und Rechtfertigungsdruck, der in seiner Peinlichkeit kaum zu übertreffen </w:t>
      </w:r>
      <w:r w:rsidR="0088765B">
        <w:rPr>
          <w:sz w:val="24"/>
          <w:szCs w:val="24"/>
        </w:rPr>
        <w:t>ist</w:t>
      </w:r>
      <w:r w:rsidR="00EC7A82">
        <w:rPr>
          <w:sz w:val="24"/>
          <w:szCs w:val="24"/>
        </w:rPr>
        <w:t xml:space="preserve">. </w:t>
      </w:r>
      <w:r w:rsidR="00A30606">
        <w:rPr>
          <w:sz w:val="24"/>
          <w:szCs w:val="24"/>
        </w:rPr>
        <w:t>Selbsta</w:t>
      </w:r>
      <w:r w:rsidR="00A30606">
        <w:rPr>
          <w:sz w:val="24"/>
          <w:szCs w:val="24"/>
        </w:rPr>
        <w:t>n</w:t>
      </w:r>
      <w:r w:rsidR="00A30606">
        <w:rPr>
          <w:sz w:val="24"/>
          <w:szCs w:val="24"/>
        </w:rPr>
        <w:t xml:space="preserve">schuldigungen und Denunziationen </w:t>
      </w:r>
      <w:r w:rsidR="00C83852">
        <w:rPr>
          <w:sz w:val="24"/>
          <w:szCs w:val="24"/>
        </w:rPr>
        <w:t xml:space="preserve">von Freunden und guten Bekannten </w:t>
      </w:r>
      <w:r w:rsidR="00A30606">
        <w:rPr>
          <w:sz w:val="24"/>
          <w:szCs w:val="24"/>
        </w:rPr>
        <w:t xml:space="preserve">griffen ineinander. </w:t>
      </w:r>
      <w:r w:rsidR="0020537F">
        <w:rPr>
          <w:sz w:val="24"/>
          <w:szCs w:val="24"/>
        </w:rPr>
        <w:t xml:space="preserve">Vor den versammelten Kollegen musste sich z. B. </w:t>
      </w:r>
      <w:r w:rsidR="009F6BE1">
        <w:rPr>
          <w:sz w:val="24"/>
          <w:szCs w:val="24"/>
        </w:rPr>
        <w:t>Hans Günther</w:t>
      </w:r>
      <w:r>
        <w:rPr>
          <w:sz w:val="24"/>
          <w:szCs w:val="24"/>
        </w:rPr>
        <w:t xml:space="preserve"> </w:t>
      </w:r>
      <w:r w:rsidR="0020537F">
        <w:rPr>
          <w:sz w:val="24"/>
          <w:szCs w:val="24"/>
        </w:rPr>
        <w:t xml:space="preserve">für </w:t>
      </w:r>
      <w:r>
        <w:rPr>
          <w:sz w:val="24"/>
          <w:szCs w:val="24"/>
        </w:rPr>
        <w:t>die „</w:t>
      </w:r>
      <w:r w:rsidR="009F6BE1">
        <w:rPr>
          <w:sz w:val="24"/>
          <w:szCs w:val="24"/>
        </w:rPr>
        <w:t>D</w:t>
      </w:r>
      <w:r>
        <w:rPr>
          <w:sz w:val="24"/>
          <w:szCs w:val="24"/>
        </w:rPr>
        <w:t>epressi</w:t>
      </w:r>
      <w:r w:rsidR="009F6BE1">
        <w:rPr>
          <w:sz w:val="24"/>
          <w:szCs w:val="24"/>
        </w:rPr>
        <w:t>onss</w:t>
      </w:r>
      <w:r>
        <w:rPr>
          <w:sz w:val="24"/>
          <w:szCs w:val="24"/>
        </w:rPr>
        <w:t>ti</w:t>
      </w:r>
      <w:r>
        <w:rPr>
          <w:sz w:val="24"/>
          <w:szCs w:val="24"/>
        </w:rPr>
        <w:t>m</w:t>
      </w:r>
      <w:r>
        <w:rPr>
          <w:sz w:val="24"/>
          <w:szCs w:val="24"/>
        </w:rPr>
        <w:t>mungen“</w:t>
      </w:r>
      <w:r w:rsidR="009F6BE1">
        <w:rPr>
          <w:rStyle w:val="Funotenzeichen"/>
          <w:sz w:val="24"/>
          <w:szCs w:val="24"/>
        </w:rPr>
        <w:footnoteReference w:id="7"/>
      </w:r>
      <w:r>
        <w:rPr>
          <w:sz w:val="24"/>
          <w:szCs w:val="24"/>
        </w:rPr>
        <w:t xml:space="preserve"> </w:t>
      </w:r>
      <w:r w:rsidR="00C83852">
        <w:rPr>
          <w:sz w:val="24"/>
          <w:szCs w:val="24"/>
        </w:rPr>
        <w:t>entschuld</w:t>
      </w:r>
      <w:r w:rsidR="0020537F">
        <w:rPr>
          <w:sz w:val="24"/>
          <w:szCs w:val="24"/>
        </w:rPr>
        <w:t>ig</w:t>
      </w:r>
      <w:r>
        <w:rPr>
          <w:sz w:val="24"/>
          <w:szCs w:val="24"/>
        </w:rPr>
        <w:t>en, die ihn 1933</w:t>
      </w:r>
      <w:r w:rsidR="0020537F">
        <w:rPr>
          <w:sz w:val="24"/>
          <w:szCs w:val="24"/>
        </w:rPr>
        <w:t>, nach der Flucht aus Deutschland,</w:t>
      </w:r>
      <w:r>
        <w:rPr>
          <w:sz w:val="24"/>
          <w:szCs w:val="24"/>
        </w:rPr>
        <w:t xml:space="preserve"> </w:t>
      </w:r>
      <w:r w:rsidR="00C83852">
        <w:rPr>
          <w:sz w:val="24"/>
          <w:szCs w:val="24"/>
        </w:rPr>
        <w:t>überfallen</w:t>
      </w:r>
      <w:r>
        <w:rPr>
          <w:sz w:val="24"/>
          <w:szCs w:val="24"/>
        </w:rPr>
        <w:t xml:space="preserve"> ha</w:t>
      </w:r>
      <w:r w:rsidR="007B028F">
        <w:rPr>
          <w:sz w:val="24"/>
          <w:szCs w:val="24"/>
        </w:rPr>
        <w:t>tt</w:t>
      </w:r>
      <w:r>
        <w:rPr>
          <w:sz w:val="24"/>
          <w:szCs w:val="24"/>
        </w:rPr>
        <w:t xml:space="preserve">en. Damit </w:t>
      </w:r>
      <w:r w:rsidR="007B028F">
        <w:rPr>
          <w:sz w:val="24"/>
          <w:szCs w:val="24"/>
        </w:rPr>
        <w:t>war</w:t>
      </w:r>
      <w:r>
        <w:rPr>
          <w:sz w:val="24"/>
          <w:szCs w:val="24"/>
        </w:rPr>
        <w:t xml:space="preserve"> gemeint, dass er </w:t>
      </w:r>
      <w:r w:rsidR="0088765B">
        <w:rPr>
          <w:sz w:val="24"/>
          <w:szCs w:val="24"/>
        </w:rPr>
        <w:t xml:space="preserve">in dieser Phase </w:t>
      </w:r>
      <w:r>
        <w:rPr>
          <w:sz w:val="24"/>
          <w:szCs w:val="24"/>
        </w:rPr>
        <w:t xml:space="preserve">im Gegensatz zum parteioffiziellen Standpunkt </w:t>
      </w:r>
      <w:r w:rsidR="0088765B">
        <w:rPr>
          <w:sz w:val="24"/>
          <w:szCs w:val="24"/>
        </w:rPr>
        <w:t>d</w:t>
      </w:r>
      <w:r w:rsidR="007B028F">
        <w:rPr>
          <w:sz w:val="24"/>
          <w:szCs w:val="24"/>
        </w:rPr>
        <w:t>ie</w:t>
      </w:r>
      <w:r>
        <w:rPr>
          <w:sz w:val="24"/>
          <w:szCs w:val="24"/>
        </w:rPr>
        <w:t xml:space="preserve"> Auffassung </w:t>
      </w:r>
      <w:r w:rsidR="007B028F">
        <w:rPr>
          <w:sz w:val="24"/>
          <w:szCs w:val="24"/>
        </w:rPr>
        <w:t>vertreten hatte</w:t>
      </w:r>
      <w:r>
        <w:rPr>
          <w:sz w:val="24"/>
          <w:szCs w:val="24"/>
        </w:rPr>
        <w:t xml:space="preserve">, die KPD habe </w:t>
      </w:r>
      <w:r w:rsidR="007B028F">
        <w:rPr>
          <w:sz w:val="24"/>
          <w:szCs w:val="24"/>
        </w:rPr>
        <w:t xml:space="preserve">mit der Machtergreifung Hitlers </w:t>
      </w:r>
      <w:r w:rsidRPr="00D67E94">
        <w:rPr>
          <w:i/>
          <w:sz w:val="24"/>
          <w:szCs w:val="24"/>
        </w:rPr>
        <w:t>eine Niederl</w:t>
      </w:r>
      <w:r w:rsidRPr="00D67E94">
        <w:rPr>
          <w:i/>
          <w:sz w:val="24"/>
          <w:szCs w:val="24"/>
        </w:rPr>
        <w:t>a</w:t>
      </w:r>
      <w:r w:rsidRPr="00D67E94">
        <w:rPr>
          <w:i/>
          <w:sz w:val="24"/>
          <w:szCs w:val="24"/>
        </w:rPr>
        <w:t>ge</w:t>
      </w:r>
      <w:r>
        <w:rPr>
          <w:sz w:val="24"/>
          <w:szCs w:val="24"/>
        </w:rPr>
        <w:t xml:space="preserve"> erlitten und werde bei der Arbeiterschaft nur unglaubwürdig, wenn sie d</w:t>
      </w:r>
      <w:r w:rsidR="00D67E94">
        <w:rPr>
          <w:sz w:val="24"/>
          <w:szCs w:val="24"/>
        </w:rPr>
        <w:t>ie</w:t>
      </w:r>
      <w:r w:rsidR="00C83852">
        <w:rPr>
          <w:sz w:val="24"/>
          <w:szCs w:val="24"/>
        </w:rPr>
        <w:t xml:space="preserve"> Niederlage</w:t>
      </w:r>
      <w:r>
        <w:rPr>
          <w:sz w:val="24"/>
          <w:szCs w:val="24"/>
        </w:rPr>
        <w:t xml:space="preserve"> nicht eingestehe. </w:t>
      </w:r>
      <w:r w:rsidR="009F6BE1">
        <w:rPr>
          <w:sz w:val="24"/>
          <w:szCs w:val="24"/>
        </w:rPr>
        <w:t>Johannes R. Becher</w:t>
      </w:r>
      <w:r>
        <w:rPr>
          <w:sz w:val="24"/>
          <w:szCs w:val="24"/>
        </w:rPr>
        <w:t xml:space="preserve"> </w:t>
      </w:r>
      <w:r w:rsidR="009F6BE1">
        <w:rPr>
          <w:sz w:val="24"/>
          <w:szCs w:val="24"/>
        </w:rPr>
        <w:t xml:space="preserve">muss sich zu </w:t>
      </w:r>
      <w:r w:rsidR="00487EFD">
        <w:rPr>
          <w:sz w:val="24"/>
          <w:szCs w:val="24"/>
        </w:rPr>
        <w:t>Details seines Privatlebens</w:t>
      </w:r>
      <w:r w:rsidR="009F6BE1">
        <w:rPr>
          <w:sz w:val="24"/>
          <w:szCs w:val="24"/>
        </w:rPr>
        <w:t xml:space="preserve"> äußer</w:t>
      </w:r>
      <w:r>
        <w:rPr>
          <w:sz w:val="24"/>
          <w:szCs w:val="24"/>
        </w:rPr>
        <w:t>n</w:t>
      </w:r>
      <w:r w:rsidR="00487EFD">
        <w:rPr>
          <w:sz w:val="24"/>
          <w:szCs w:val="24"/>
        </w:rPr>
        <w:t>; er muss A</w:t>
      </w:r>
      <w:r w:rsidR="00487EFD">
        <w:rPr>
          <w:sz w:val="24"/>
          <w:szCs w:val="24"/>
        </w:rPr>
        <w:t>n</w:t>
      </w:r>
      <w:r w:rsidR="00487EFD">
        <w:rPr>
          <w:sz w:val="24"/>
          <w:szCs w:val="24"/>
        </w:rPr>
        <w:t>gaben</w:t>
      </w:r>
      <w:r w:rsidR="0020537F">
        <w:rPr>
          <w:sz w:val="24"/>
          <w:szCs w:val="24"/>
        </w:rPr>
        <w:t xml:space="preserve"> </w:t>
      </w:r>
      <w:r w:rsidR="007B028F">
        <w:rPr>
          <w:sz w:val="24"/>
          <w:szCs w:val="24"/>
        </w:rPr>
        <w:t xml:space="preserve">über </w:t>
      </w:r>
      <w:r w:rsidR="0020537F">
        <w:rPr>
          <w:sz w:val="24"/>
          <w:szCs w:val="24"/>
        </w:rPr>
        <w:t>seine Lebensgefährtin Lilly Korpus</w:t>
      </w:r>
      <w:r w:rsidR="00487EFD">
        <w:rPr>
          <w:sz w:val="24"/>
          <w:szCs w:val="24"/>
        </w:rPr>
        <w:t xml:space="preserve"> machen</w:t>
      </w:r>
      <w:r w:rsidR="009F6BE1">
        <w:rPr>
          <w:sz w:val="24"/>
          <w:szCs w:val="24"/>
        </w:rPr>
        <w:t>, über die Art, wie sie ihre Einreise in die Sowjetunion erlangt</w:t>
      </w:r>
      <w:r w:rsidR="00487EFD">
        <w:rPr>
          <w:sz w:val="24"/>
          <w:szCs w:val="24"/>
        </w:rPr>
        <w:t xml:space="preserve"> hat</w:t>
      </w:r>
      <w:r w:rsidR="009F6BE1">
        <w:rPr>
          <w:sz w:val="24"/>
          <w:szCs w:val="24"/>
        </w:rPr>
        <w:t>, vor allem aber über</w:t>
      </w:r>
      <w:r w:rsidR="0020537F">
        <w:rPr>
          <w:sz w:val="24"/>
          <w:szCs w:val="24"/>
        </w:rPr>
        <w:t xml:space="preserve"> ihr</w:t>
      </w:r>
      <w:r>
        <w:rPr>
          <w:sz w:val="24"/>
          <w:szCs w:val="24"/>
        </w:rPr>
        <w:t xml:space="preserve">en nicht hinlänglich </w:t>
      </w:r>
      <w:r w:rsidR="00487EFD">
        <w:rPr>
          <w:sz w:val="24"/>
          <w:szCs w:val="24"/>
        </w:rPr>
        <w:t>‚</w:t>
      </w:r>
      <w:r>
        <w:rPr>
          <w:sz w:val="24"/>
          <w:szCs w:val="24"/>
        </w:rPr>
        <w:t>linientreuen</w:t>
      </w:r>
      <w:r w:rsidR="00487EFD">
        <w:rPr>
          <w:sz w:val="24"/>
          <w:szCs w:val="24"/>
        </w:rPr>
        <w:t>‘</w:t>
      </w:r>
      <w:r>
        <w:rPr>
          <w:sz w:val="24"/>
          <w:szCs w:val="24"/>
        </w:rPr>
        <w:t xml:space="preserve"> </w:t>
      </w:r>
      <w:r w:rsidR="009F6BE1">
        <w:rPr>
          <w:sz w:val="24"/>
          <w:szCs w:val="24"/>
        </w:rPr>
        <w:t>polit</w:t>
      </w:r>
      <w:r w:rsidR="009F6BE1">
        <w:rPr>
          <w:sz w:val="24"/>
          <w:szCs w:val="24"/>
        </w:rPr>
        <w:t>i</w:t>
      </w:r>
      <w:r w:rsidR="009F6BE1">
        <w:rPr>
          <w:sz w:val="24"/>
          <w:szCs w:val="24"/>
        </w:rPr>
        <w:t xml:space="preserve">schen </w:t>
      </w:r>
      <w:r>
        <w:rPr>
          <w:sz w:val="24"/>
          <w:szCs w:val="24"/>
        </w:rPr>
        <w:t>Werdegang.</w:t>
      </w:r>
      <w:r w:rsidR="009F6BE1">
        <w:rPr>
          <w:rStyle w:val="Funotenzeichen"/>
          <w:sz w:val="24"/>
          <w:szCs w:val="24"/>
        </w:rPr>
        <w:footnoteReference w:id="8"/>
      </w:r>
      <w:r>
        <w:rPr>
          <w:sz w:val="24"/>
          <w:szCs w:val="24"/>
        </w:rPr>
        <w:t xml:space="preserve"> </w:t>
      </w:r>
      <w:r w:rsidR="000F3A49">
        <w:rPr>
          <w:sz w:val="24"/>
          <w:szCs w:val="24"/>
        </w:rPr>
        <w:t xml:space="preserve">Als Bechers Auskünfte für nicht ausreichend erachtet werden, sieht er sich gezwungen, den Decknamen („Moritz“) des Vertreters „eine[r] bestimmten Abteilung“, offensichtlich des Geheimdienstes, </w:t>
      </w:r>
      <w:r w:rsidR="003858B6">
        <w:rPr>
          <w:sz w:val="24"/>
          <w:szCs w:val="24"/>
        </w:rPr>
        <w:t xml:space="preserve">ins Spiel </w:t>
      </w:r>
      <w:r w:rsidR="000F3A49">
        <w:rPr>
          <w:sz w:val="24"/>
          <w:szCs w:val="24"/>
        </w:rPr>
        <w:t xml:space="preserve">zu </w:t>
      </w:r>
      <w:r w:rsidR="003858B6">
        <w:rPr>
          <w:sz w:val="24"/>
          <w:szCs w:val="24"/>
        </w:rPr>
        <w:t>bring</w:t>
      </w:r>
      <w:r w:rsidR="000F3A49">
        <w:rPr>
          <w:sz w:val="24"/>
          <w:szCs w:val="24"/>
        </w:rPr>
        <w:t>en. Erst in diesem Moment verzichtet man auf weitere Auskünfte.</w:t>
      </w:r>
      <w:r w:rsidR="000F3A49">
        <w:rPr>
          <w:rStyle w:val="Funotenzeichen"/>
          <w:sz w:val="24"/>
          <w:szCs w:val="24"/>
        </w:rPr>
        <w:footnoteReference w:id="9"/>
      </w:r>
      <w:r w:rsidR="000F3A49">
        <w:rPr>
          <w:sz w:val="24"/>
          <w:szCs w:val="24"/>
        </w:rPr>
        <w:t xml:space="preserve"> – D</w:t>
      </w:r>
      <w:r w:rsidR="00A30606">
        <w:rPr>
          <w:sz w:val="24"/>
          <w:szCs w:val="24"/>
        </w:rPr>
        <w:t xml:space="preserve">ie Perversität der Veranstaltung bestand darin, dass </w:t>
      </w:r>
      <w:r w:rsidR="000F3A49">
        <w:rPr>
          <w:sz w:val="24"/>
          <w:szCs w:val="24"/>
        </w:rPr>
        <w:t xml:space="preserve">unter dem Vorwand, die Anwesenden müssten ihr ihr „revolutionäres Gesicht“, zeigen, </w:t>
      </w:r>
      <w:r w:rsidR="00A30606">
        <w:rPr>
          <w:sz w:val="24"/>
          <w:szCs w:val="24"/>
        </w:rPr>
        <w:t xml:space="preserve">private und politische Kontakte vermischt wurden. </w:t>
      </w:r>
      <w:r w:rsidR="000F3A49">
        <w:rPr>
          <w:sz w:val="24"/>
          <w:szCs w:val="24"/>
        </w:rPr>
        <w:t xml:space="preserve">Neugier wurde als „bolschewistische Wachsamkeit“ ausgegeben, die Denunziation als „parteiliche Pflicht“. </w:t>
      </w:r>
      <w:r w:rsidR="00A30606">
        <w:rPr>
          <w:sz w:val="24"/>
          <w:szCs w:val="24"/>
        </w:rPr>
        <w:t>Sekrete und publike Parteiaufträge wurden zum Gegenstand allgemeiner Erörterungen</w:t>
      </w:r>
      <w:r w:rsidR="00385DFC">
        <w:rPr>
          <w:sz w:val="24"/>
          <w:szCs w:val="24"/>
        </w:rPr>
        <w:t>. Alle Anwesenden beteiligten sich. Blickt man auf den Ablauf der Veranstaltung, dann wird deutlich, dass kein führendes Mitglied des Moskauer Schriftstellerexils im Nachhinein das Recht hat zu behaupten, es habe die Mech</w:t>
      </w:r>
      <w:r w:rsidR="00385DFC">
        <w:rPr>
          <w:sz w:val="24"/>
          <w:szCs w:val="24"/>
        </w:rPr>
        <w:t>a</w:t>
      </w:r>
      <w:r w:rsidR="00385DFC">
        <w:rPr>
          <w:sz w:val="24"/>
          <w:szCs w:val="24"/>
        </w:rPr>
        <w:t>nismen nicht durchschaut.</w:t>
      </w:r>
      <w:r w:rsidR="00BE6438">
        <w:rPr>
          <w:sz w:val="24"/>
          <w:szCs w:val="24"/>
        </w:rPr>
        <w:t xml:space="preserve"> Das Verschweigen ist </w:t>
      </w:r>
      <w:r w:rsidR="00CF20AF">
        <w:rPr>
          <w:sz w:val="24"/>
          <w:szCs w:val="24"/>
        </w:rPr>
        <w:t xml:space="preserve">in diesem Fall </w:t>
      </w:r>
      <w:r w:rsidR="00BE6438">
        <w:rPr>
          <w:sz w:val="24"/>
          <w:szCs w:val="24"/>
        </w:rPr>
        <w:t xml:space="preserve">eine Form </w:t>
      </w:r>
      <w:r w:rsidR="003858B6">
        <w:rPr>
          <w:sz w:val="24"/>
          <w:szCs w:val="24"/>
        </w:rPr>
        <w:t xml:space="preserve">des Selbstschutzes bzw. </w:t>
      </w:r>
      <w:r w:rsidR="00BE6438">
        <w:rPr>
          <w:sz w:val="24"/>
          <w:szCs w:val="24"/>
        </w:rPr>
        <w:t>der Verdrängung</w:t>
      </w:r>
      <w:r w:rsidR="00487EFD">
        <w:rPr>
          <w:sz w:val="24"/>
          <w:szCs w:val="24"/>
        </w:rPr>
        <w:t xml:space="preserve"> eines als Entwürdigung empfundenen Vorgangs</w:t>
      </w:r>
      <w:r w:rsidR="00BE6438">
        <w:rPr>
          <w:sz w:val="24"/>
          <w:szCs w:val="24"/>
        </w:rPr>
        <w:t>.</w:t>
      </w:r>
    </w:p>
    <w:p w:rsidR="001C0291" w:rsidRDefault="002F782D" w:rsidP="00A046FA">
      <w:pPr>
        <w:pStyle w:val="Funotentext"/>
        <w:spacing w:line="276" w:lineRule="auto"/>
        <w:jc w:val="both"/>
        <w:rPr>
          <w:sz w:val="24"/>
          <w:szCs w:val="24"/>
        </w:rPr>
      </w:pPr>
      <w:r>
        <w:rPr>
          <w:sz w:val="24"/>
          <w:szCs w:val="24"/>
        </w:rPr>
        <w:tab/>
      </w:r>
      <w:r w:rsidR="00603F97">
        <w:rPr>
          <w:sz w:val="24"/>
          <w:szCs w:val="24"/>
        </w:rPr>
        <w:t>Trivialitäten w</w:t>
      </w:r>
      <w:r>
        <w:rPr>
          <w:sz w:val="24"/>
          <w:szCs w:val="24"/>
        </w:rPr>
        <w:t>e</w:t>
      </w:r>
      <w:r w:rsidR="00603F97">
        <w:rPr>
          <w:sz w:val="24"/>
          <w:szCs w:val="24"/>
        </w:rPr>
        <w:t xml:space="preserve">rden zu politischen Delikten aufgebauscht. Johannes R. </w:t>
      </w:r>
      <w:r w:rsidR="00603F97" w:rsidRPr="007B028F">
        <w:rPr>
          <w:sz w:val="24"/>
          <w:szCs w:val="24"/>
        </w:rPr>
        <w:t xml:space="preserve">Becher </w:t>
      </w:r>
      <w:r w:rsidR="00603F97">
        <w:rPr>
          <w:sz w:val="24"/>
          <w:szCs w:val="24"/>
        </w:rPr>
        <w:t xml:space="preserve">wie Hans </w:t>
      </w:r>
      <w:r w:rsidR="001013E5" w:rsidRPr="007B028F">
        <w:rPr>
          <w:sz w:val="24"/>
          <w:szCs w:val="24"/>
        </w:rPr>
        <w:t>Günther</w:t>
      </w:r>
      <w:r w:rsidR="001013E5" w:rsidRPr="001013E5">
        <w:rPr>
          <w:i/>
          <w:sz w:val="24"/>
          <w:szCs w:val="24"/>
        </w:rPr>
        <w:t xml:space="preserve"> </w:t>
      </w:r>
      <w:r w:rsidR="001013E5">
        <w:rPr>
          <w:sz w:val="24"/>
          <w:szCs w:val="24"/>
        </w:rPr>
        <w:t>m</w:t>
      </w:r>
      <w:r>
        <w:rPr>
          <w:sz w:val="24"/>
          <w:szCs w:val="24"/>
        </w:rPr>
        <w:t>ü</w:t>
      </w:r>
      <w:r w:rsidR="001013E5">
        <w:rPr>
          <w:sz w:val="24"/>
          <w:szCs w:val="24"/>
        </w:rPr>
        <w:t xml:space="preserve">ssen sich </w:t>
      </w:r>
      <w:r w:rsidR="0020603E">
        <w:rPr>
          <w:sz w:val="24"/>
          <w:szCs w:val="24"/>
        </w:rPr>
        <w:t>mit Demuts</w:t>
      </w:r>
      <w:r w:rsidR="00BE6438">
        <w:rPr>
          <w:sz w:val="24"/>
          <w:szCs w:val="24"/>
        </w:rPr>
        <w:t>- und Unterwerfungs</w:t>
      </w:r>
      <w:r w:rsidR="0020603E">
        <w:rPr>
          <w:sz w:val="24"/>
          <w:szCs w:val="24"/>
        </w:rPr>
        <w:t xml:space="preserve">gesten </w:t>
      </w:r>
      <w:r w:rsidR="007B028F">
        <w:rPr>
          <w:sz w:val="24"/>
          <w:szCs w:val="24"/>
        </w:rPr>
        <w:t xml:space="preserve">dafür </w:t>
      </w:r>
      <w:r>
        <w:rPr>
          <w:sz w:val="24"/>
          <w:szCs w:val="24"/>
        </w:rPr>
        <w:t>entschuldi</w:t>
      </w:r>
      <w:r w:rsidR="001013E5">
        <w:rPr>
          <w:sz w:val="24"/>
          <w:szCs w:val="24"/>
        </w:rPr>
        <w:t xml:space="preserve">gen, </w:t>
      </w:r>
      <w:r w:rsidR="007B028F">
        <w:rPr>
          <w:sz w:val="24"/>
          <w:szCs w:val="24"/>
        </w:rPr>
        <w:t>dass</w:t>
      </w:r>
      <w:r w:rsidR="001013E5">
        <w:rPr>
          <w:sz w:val="24"/>
          <w:szCs w:val="24"/>
        </w:rPr>
        <w:t xml:space="preserve"> sie eine Ver</w:t>
      </w:r>
      <w:r>
        <w:rPr>
          <w:sz w:val="24"/>
          <w:szCs w:val="24"/>
        </w:rPr>
        <w:t>anstaltung</w:t>
      </w:r>
      <w:r w:rsidR="001013E5">
        <w:rPr>
          <w:sz w:val="24"/>
          <w:szCs w:val="24"/>
        </w:rPr>
        <w:t xml:space="preserve"> des sowjetischen Schriftstellerverbandes </w:t>
      </w:r>
      <w:r w:rsidR="001C0291">
        <w:rPr>
          <w:sz w:val="24"/>
          <w:szCs w:val="24"/>
        </w:rPr>
        <w:t>vorzeitig</w:t>
      </w:r>
      <w:r w:rsidR="001013E5">
        <w:rPr>
          <w:sz w:val="24"/>
          <w:szCs w:val="24"/>
        </w:rPr>
        <w:t xml:space="preserve"> verlassen</w:t>
      </w:r>
      <w:r w:rsidR="00487EFD">
        <w:rPr>
          <w:sz w:val="24"/>
          <w:szCs w:val="24"/>
        </w:rPr>
        <w:t xml:space="preserve"> haben</w:t>
      </w:r>
      <w:r>
        <w:rPr>
          <w:sz w:val="24"/>
          <w:szCs w:val="24"/>
        </w:rPr>
        <w:t>.</w:t>
      </w:r>
      <w:r w:rsidR="0020603E">
        <w:rPr>
          <w:sz w:val="24"/>
          <w:szCs w:val="24"/>
        </w:rPr>
        <w:t xml:space="preserve"> </w:t>
      </w:r>
      <w:r w:rsidR="00487EFD">
        <w:rPr>
          <w:sz w:val="24"/>
          <w:szCs w:val="24"/>
        </w:rPr>
        <w:t xml:space="preserve">Man zeigt Reue. </w:t>
      </w:r>
      <w:r w:rsidR="002F59CC">
        <w:rPr>
          <w:sz w:val="24"/>
          <w:szCs w:val="24"/>
        </w:rPr>
        <w:t>Das</w:t>
      </w:r>
      <w:r w:rsidR="00BE6438">
        <w:rPr>
          <w:sz w:val="24"/>
          <w:szCs w:val="24"/>
        </w:rPr>
        <w:t xml:space="preserve"> Treffen</w:t>
      </w:r>
      <w:r w:rsidR="0020603E">
        <w:rPr>
          <w:sz w:val="24"/>
          <w:szCs w:val="24"/>
        </w:rPr>
        <w:t xml:space="preserve"> </w:t>
      </w:r>
      <w:r w:rsidR="002F59CC">
        <w:rPr>
          <w:sz w:val="24"/>
          <w:szCs w:val="24"/>
        </w:rPr>
        <w:t>sei</w:t>
      </w:r>
      <w:r w:rsidR="0020603E">
        <w:rPr>
          <w:sz w:val="24"/>
          <w:szCs w:val="24"/>
        </w:rPr>
        <w:t xml:space="preserve">, wie Hans Günther </w:t>
      </w:r>
      <w:r w:rsidR="003858B6">
        <w:rPr>
          <w:sz w:val="24"/>
          <w:szCs w:val="24"/>
        </w:rPr>
        <w:t>im Nachhinein</w:t>
      </w:r>
      <w:r w:rsidR="0020603E">
        <w:rPr>
          <w:sz w:val="24"/>
          <w:szCs w:val="24"/>
        </w:rPr>
        <w:t xml:space="preserve"> </w:t>
      </w:r>
      <w:r w:rsidR="003858B6">
        <w:rPr>
          <w:sz w:val="24"/>
          <w:szCs w:val="24"/>
        </w:rPr>
        <w:t>klarstellt</w:t>
      </w:r>
      <w:r w:rsidR="0020603E">
        <w:rPr>
          <w:sz w:val="24"/>
          <w:szCs w:val="24"/>
        </w:rPr>
        <w:t xml:space="preserve">, </w:t>
      </w:r>
      <w:r>
        <w:rPr>
          <w:sz w:val="24"/>
          <w:szCs w:val="24"/>
        </w:rPr>
        <w:t>eine „Demons</w:t>
      </w:r>
      <w:r>
        <w:rPr>
          <w:sz w:val="24"/>
          <w:szCs w:val="24"/>
        </w:rPr>
        <w:t>t</w:t>
      </w:r>
      <w:r>
        <w:rPr>
          <w:sz w:val="24"/>
          <w:szCs w:val="24"/>
        </w:rPr>
        <w:lastRenderedPageBreak/>
        <w:t xml:space="preserve">ration gegen die </w:t>
      </w:r>
      <w:proofErr w:type="spellStart"/>
      <w:r>
        <w:rPr>
          <w:sz w:val="24"/>
          <w:szCs w:val="24"/>
        </w:rPr>
        <w:t>sinowjewistisch</w:t>
      </w:r>
      <w:proofErr w:type="spellEnd"/>
      <w:r>
        <w:rPr>
          <w:sz w:val="24"/>
          <w:szCs w:val="24"/>
        </w:rPr>
        <w:t>-trotzkistischen Bande“</w:t>
      </w:r>
      <w:r w:rsidR="0020603E">
        <w:rPr>
          <w:sz w:val="24"/>
          <w:szCs w:val="24"/>
        </w:rPr>
        <w:t xml:space="preserve"> ge</w:t>
      </w:r>
      <w:r w:rsidR="002F59CC">
        <w:rPr>
          <w:sz w:val="24"/>
          <w:szCs w:val="24"/>
        </w:rPr>
        <w:t>wesen,</w:t>
      </w:r>
      <w:r>
        <w:rPr>
          <w:rStyle w:val="Funotenzeichen"/>
          <w:sz w:val="24"/>
          <w:szCs w:val="24"/>
        </w:rPr>
        <w:footnoteReference w:id="10"/>
      </w:r>
      <w:r>
        <w:rPr>
          <w:sz w:val="24"/>
          <w:szCs w:val="24"/>
        </w:rPr>
        <w:t xml:space="preserve"> </w:t>
      </w:r>
      <w:r w:rsidR="002F59CC">
        <w:rPr>
          <w:sz w:val="24"/>
          <w:szCs w:val="24"/>
        </w:rPr>
        <w:t>d</w:t>
      </w:r>
      <w:r w:rsidR="003858B6">
        <w:rPr>
          <w:sz w:val="24"/>
          <w:szCs w:val="24"/>
        </w:rPr>
        <w:t>i</w:t>
      </w:r>
      <w:r w:rsidR="00BE6438">
        <w:rPr>
          <w:sz w:val="24"/>
          <w:szCs w:val="24"/>
        </w:rPr>
        <w:t>e</w:t>
      </w:r>
      <w:r w:rsidR="003858B6">
        <w:rPr>
          <w:sz w:val="24"/>
          <w:szCs w:val="24"/>
        </w:rPr>
        <w:t xml:space="preserve"> Anwesenheit </w:t>
      </w:r>
      <w:r w:rsidR="00BE6438">
        <w:rPr>
          <w:sz w:val="24"/>
          <w:szCs w:val="24"/>
        </w:rPr>
        <w:t xml:space="preserve">bis </w:t>
      </w:r>
      <w:r w:rsidR="003858B6">
        <w:rPr>
          <w:sz w:val="24"/>
          <w:szCs w:val="24"/>
        </w:rPr>
        <w:t>zum Schluss</w:t>
      </w:r>
      <w:r w:rsidR="00BE6438">
        <w:rPr>
          <w:sz w:val="24"/>
          <w:szCs w:val="24"/>
        </w:rPr>
        <w:t xml:space="preserve"> also </w:t>
      </w:r>
      <w:r w:rsidR="001C0291">
        <w:rPr>
          <w:sz w:val="24"/>
          <w:szCs w:val="24"/>
        </w:rPr>
        <w:t xml:space="preserve">eine </w:t>
      </w:r>
      <w:r w:rsidR="00CF20AF">
        <w:rPr>
          <w:sz w:val="24"/>
          <w:szCs w:val="24"/>
        </w:rPr>
        <w:t>„bolschewistische</w:t>
      </w:r>
      <w:r w:rsidR="00BE6438">
        <w:rPr>
          <w:sz w:val="24"/>
          <w:szCs w:val="24"/>
        </w:rPr>
        <w:t xml:space="preserve"> Pflicht</w:t>
      </w:r>
      <w:r w:rsidR="008809C3">
        <w:rPr>
          <w:sz w:val="24"/>
          <w:szCs w:val="24"/>
        </w:rPr>
        <w:t>“</w:t>
      </w:r>
      <w:r w:rsidR="0020603E">
        <w:rPr>
          <w:sz w:val="24"/>
          <w:szCs w:val="24"/>
        </w:rPr>
        <w:t xml:space="preserve">. </w:t>
      </w:r>
      <w:r w:rsidR="001C0291">
        <w:rPr>
          <w:sz w:val="24"/>
          <w:szCs w:val="24"/>
        </w:rPr>
        <w:t>Als E</w:t>
      </w:r>
      <w:r w:rsidR="00437F98">
        <w:rPr>
          <w:sz w:val="24"/>
          <w:szCs w:val="24"/>
        </w:rPr>
        <w:t>rklär</w:t>
      </w:r>
      <w:r w:rsidR="001C0291">
        <w:rPr>
          <w:sz w:val="24"/>
          <w:szCs w:val="24"/>
        </w:rPr>
        <w:t xml:space="preserve">ung für sein und Bechers Verhalten führt er </w:t>
      </w:r>
      <w:r w:rsidR="00BB7CE6">
        <w:rPr>
          <w:sz w:val="24"/>
          <w:szCs w:val="24"/>
        </w:rPr>
        <w:t>nicht hinreichend</w:t>
      </w:r>
      <w:r w:rsidR="0094172B">
        <w:rPr>
          <w:sz w:val="24"/>
          <w:szCs w:val="24"/>
        </w:rPr>
        <w:t>es sprachliches Verständnis</w:t>
      </w:r>
      <w:r w:rsidR="001C0291">
        <w:rPr>
          <w:sz w:val="24"/>
          <w:szCs w:val="24"/>
        </w:rPr>
        <w:t xml:space="preserve"> </w:t>
      </w:r>
      <w:r w:rsidR="00BB7CE6">
        <w:rPr>
          <w:sz w:val="24"/>
          <w:szCs w:val="24"/>
        </w:rPr>
        <w:t>an</w:t>
      </w:r>
      <w:r w:rsidR="0094172B">
        <w:rPr>
          <w:sz w:val="24"/>
          <w:szCs w:val="24"/>
        </w:rPr>
        <w:t xml:space="preserve">. </w:t>
      </w:r>
      <w:r w:rsidR="001C0291">
        <w:rPr>
          <w:sz w:val="24"/>
          <w:szCs w:val="24"/>
        </w:rPr>
        <w:t>Trotz vergleichswe</w:t>
      </w:r>
      <w:r w:rsidR="002F59CC">
        <w:rPr>
          <w:sz w:val="24"/>
          <w:szCs w:val="24"/>
        </w:rPr>
        <w:t>ise gut</w:t>
      </w:r>
      <w:r w:rsidR="001C0291">
        <w:rPr>
          <w:sz w:val="24"/>
          <w:szCs w:val="24"/>
        </w:rPr>
        <w:t>er Ru</w:t>
      </w:r>
      <w:r w:rsidR="001C0291">
        <w:rPr>
          <w:sz w:val="24"/>
          <w:szCs w:val="24"/>
        </w:rPr>
        <w:t>s</w:t>
      </w:r>
      <w:r w:rsidR="001C0291">
        <w:rPr>
          <w:sz w:val="24"/>
          <w:szCs w:val="24"/>
        </w:rPr>
        <w:t xml:space="preserve">sischkenntnisse habe er sich </w:t>
      </w:r>
      <w:r w:rsidR="002F59CC">
        <w:rPr>
          <w:sz w:val="24"/>
          <w:szCs w:val="24"/>
        </w:rPr>
        <w:t>nicht imstande</w:t>
      </w:r>
      <w:r w:rsidR="001C0291">
        <w:rPr>
          <w:sz w:val="24"/>
          <w:szCs w:val="24"/>
        </w:rPr>
        <w:t xml:space="preserve"> gesehen</w:t>
      </w:r>
      <w:r w:rsidR="002F59CC">
        <w:rPr>
          <w:sz w:val="24"/>
          <w:szCs w:val="24"/>
        </w:rPr>
        <w:t xml:space="preserve">, </w:t>
      </w:r>
      <w:r w:rsidR="001C0291">
        <w:rPr>
          <w:sz w:val="24"/>
          <w:szCs w:val="24"/>
        </w:rPr>
        <w:t xml:space="preserve">den schnellen Wortwechseln zu folgen, geschweige denn </w:t>
      </w:r>
      <w:r w:rsidR="002F59CC">
        <w:rPr>
          <w:sz w:val="24"/>
          <w:szCs w:val="24"/>
        </w:rPr>
        <w:t>für Becher</w:t>
      </w:r>
      <w:r w:rsidR="001C0291">
        <w:rPr>
          <w:sz w:val="24"/>
          <w:szCs w:val="24"/>
        </w:rPr>
        <w:t>, dessen Russischkenntnisse gering seien,</w:t>
      </w:r>
      <w:r w:rsidR="002F59CC">
        <w:rPr>
          <w:sz w:val="24"/>
          <w:szCs w:val="24"/>
        </w:rPr>
        <w:t xml:space="preserve"> als Übersetzer zu fu</w:t>
      </w:r>
      <w:r w:rsidR="002F59CC">
        <w:rPr>
          <w:sz w:val="24"/>
          <w:szCs w:val="24"/>
        </w:rPr>
        <w:t>n</w:t>
      </w:r>
      <w:r w:rsidR="002F59CC">
        <w:rPr>
          <w:sz w:val="24"/>
          <w:szCs w:val="24"/>
        </w:rPr>
        <w:t xml:space="preserve">gieren. </w:t>
      </w:r>
      <w:r w:rsidR="002B2ED9">
        <w:rPr>
          <w:sz w:val="24"/>
          <w:szCs w:val="24"/>
        </w:rPr>
        <w:t xml:space="preserve">Als Entschuldigung </w:t>
      </w:r>
      <w:r w:rsidR="001C0291">
        <w:rPr>
          <w:sz w:val="24"/>
          <w:szCs w:val="24"/>
        </w:rPr>
        <w:t xml:space="preserve">wird </w:t>
      </w:r>
      <w:r w:rsidR="00437F98">
        <w:rPr>
          <w:sz w:val="24"/>
          <w:szCs w:val="24"/>
        </w:rPr>
        <w:t>die Erklärung jedoch nicht akzeptiert.</w:t>
      </w:r>
      <w:r w:rsidR="00437F98" w:rsidRPr="00437F98">
        <w:rPr>
          <w:sz w:val="24"/>
          <w:szCs w:val="24"/>
        </w:rPr>
        <w:t xml:space="preserve"> </w:t>
      </w:r>
      <w:r w:rsidR="00437F98">
        <w:rPr>
          <w:sz w:val="24"/>
          <w:szCs w:val="24"/>
        </w:rPr>
        <w:t>Becher, ein ze</w:t>
      </w:r>
      <w:r w:rsidR="00437F98">
        <w:rPr>
          <w:sz w:val="24"/>
          <w:szCs w:val="24"/>
        </w:rPr>
        <w:t>r</w:t>
      </w:r>
      <w:r w:rsidR="00437F98">
        <w:rPr>
          <w:sz w:val="24"/>
          <w:szCs w:val="24"/>
        </w:rPr>
        <w:t>knirschter Sünder, bezeichnet</w:t>
      </w:r>
      <w:r w:rsidR="00BB7CE6">
        <w:rPr>
          <w:sz w:val="24"/>
          <w:szCs w:val="24"/>
        </w:rPr>
        <w:t xml:space="preserve"> </w:t>
      </w:r>
      <w:r w:rsidR="00437F98" w:rsidRPr="00437F98">
        <w:rPr>
          <w:sz w:val="24"/>
          <w:szCs w:val="24"/>
        </w:rPr>
        <w:t xml:space="preserve">sein und Günthers Verhalten </w:t>
      </w:r>
      <w:r w:rsidR="00437F98">
        <w:rPr>
          <w:sz w:val="24"/>
          <w:szCs w:val="24"/>
        </w:rPr>
        <w:t xml:space="preserve">daraufhin </w:t>
      </w:r>
      <w:r w:rsidR="00437F98" w:rsidRPr="00437F98">
        <w:rPr>
          <w:sz w:val="24"/>
          <w:szCs w:val="24"/>
        </w:rPr>
        <w:t>„als wirkliche Scha</w:t>
      </w:r>
      <w:r w:rsidR="00437F98" w:rsidRPr="00437F98">
        <w:rPr>
          <w:sz w:val="24"/>
          <w:szCs w:val="24"/>
        </w:rPr>
        <w:t>n</w:t>
      </w:r>
      <w:r w:rsidR="00437F98" w:rsidRPr="00437F98">
        <w:rPr>
          <w:sz w:val="24"/>
          <w:szCs w:val="24"/>
        </w:rPr>
        <w:t>de“</w:t>
      </w:r>
      <w:r w:rsidR="00437F98">
        <w:rPr>
          <w:sz w:val="24"/>
          <w:szCs w:val="24"/>
        </w:rPr>
        <w:t>.</w:t>
      </w:r>
      <w:r w:rsidR="00437F98">
        <w:rPr>
          <w:rStyle w:val="Funotenzeichen"/>
          <w:sz w:val="24"/>
          <w:szCs w:val="24"/>
        </w:rPr>
        <w:footnoteReference w:id="11"/>
      </w:r>
      <w:r w:rsidR="00437F98">
        <w:t xml:space="preserve"> </w:t>
      </w:r>
      <w:r w:rsidR="00BB7CE6" w:rsidRPr="00BB7CE6">
        <w:rPr>
          <w:sz w:val="24"/>
          <w:szCs w:val="24"/>
        </w:rPr>
        <w:t>Es</w:t>
      </w:r>
      <w:r w:rsidR="00BB7CE6">
        <w:t xml:space="preserve"> </w:t>
      </w:r>
      <w:r w:rsidR="00BB7CE6" w:rsidRPr="00BB7CE6">
        <w:rPr>
          <w:sz w:val="24"/>
          <w:szCs w:val="24"/>
        </w:rPr>
        <w:t>b</w:t>
      </w:r>
      <w:r w:rsidR="00BB7CE6">
        <w:rPr>
          <w:sz w:val="24"/>
          <w:szCs w:val="24"/>
        </w:rPr>
        <w:t xml:space="preserve">leibt </w:t>
      </w:r>
      <w:r w:rsidR="00437F98" w:rsidRPr="00437F98">
        <w:rPr>
          <w:sz w:val="24"/>
          <w:szCs w:val="24"/>
        </w:rPr>
        <w:t>Georg</w:t>
      </w:r>
      <w:r w:rsidR="00437F98">
        <w:t xml:space="preserve"> </w:t>
      </w:r>
      <w:r w:rsidR="001C0291" w:rsidRPr="001C0291">
        <w:rPr>
          <w:sz w:val="24"/>
          <w:szCs w:val="24"/>
        </w:rPr>
        <w:t>Lukács</w:t>
      </w:r>
      <w:r w:rsidR="00BB7CE6">
        <w:rPr>
          <w:sz w:val="24"/>
          <w:szCs w:val="24"/>
        </w:rPr>
        <w:t>, dem Präzeptor,</w:t>
      </w:r>
      <w:r w:rsidR="001C0291" w:rsidRPr="001C0291">
        <w:rPr>
          <w:sz w:val="24"/>
          <w:szCs w:val="24"/>
        </w:rPr>
        <w:t xml:space="preserve"> </w:t>
      </w:r>
      <w:r w:rsidR="00437F98">
        <w:rPr>
          <w:sz w:val="24"/>
          <w:szCs w:val="24"/>
        </w:rPr>
        <w:t>vor</w:t>
      </w:r>
      <w:r w:rsidR="00A434D5">
        <w:rPr>
          <w:sz w:val="24"/>
          <w:szCs w:val="24"/>
        </w:rPr>
        <w:t xml:space="preserve">behalten, das Schlussurteil zu fällen. </w:t>
      </w:r>
      <w:r w:rsidR="00BB7CE6">
        <w:rPr>
          <w:sz w:val="24"/>
          <w:szCs w:val="24"/>
        </w:rPr>
        <w:t>Sein Fazit lautet,</w:t>
      </w:r>
      <w:r w:rsidR="001C0291" w:rsidRPr="001C0291">
        <w:rPr>
          <w:sz w:val="24"/>
          <w:szCs w:val="24"/>
        </w:rPr>
        <w:t xml:space="preserve"> das Verhalten von Becher und Günther sei „vom Standpunkt der Parteidisziplin ein unerhörter Fall“</w:t>
      </w:r>
      <w:r w:rsidR="00437F98">
        <w:rPr>
          <w:sz w:val="24"/>
          <w:szCs w:val="24"/>
        </w:rPr>
        <w:t>.</w:t>
      </w:r>
      <w:r w:rsidR="00437F98">
        <w:rPr>
          <w:rStyle w:val="Funotenzeichen"/>
          <w:sz w:val="24"/>
          <w:szCs w:val="24"/>
        </w:rPr>
        <w:footnoteReference w:id="12"/>
      </w:r>
      <w:r w:rsidR="001C0291" w:rsidRPr="001C0291">
        <w:rPr>
          <w:sz w:val="24"/>
          <w:szCs w:val="24"/>
        </w:rPr>
        <w:t xml:space="preserve"> </w:t>
      </w:r>
    </w:p>
    <w:p w:rsidR="00BB7CE6" w:rsidRPr="00627AE1" w:rsidRDefault="00BB7CE6" w:rsidP="00A046FA">
      <w:pPr>
        <w:pStyle w:val="Funotentext"/>
        <w:spacing w:line="276" w:lineRule="auto"/>
        <w:jc w:val="both"/>
      </w:pPr>
    </w:p>
    <w:p w:rsidR="001013E5" w:rsidRDefault="001C0291" w:rsidP="00A046FA">
      <w:pPr>
        <w:spacing w:after="0"/>
        <w:jc w:val="both"/>
        <w:rPr>
          <w:sz w:val="24"/>
          <w:szCs w:val="24"/>
        </w:rPr>
      </w:pPr>
      <w:r>
        <w:rPr>
          <w:sz w:val="24"/>
          <w:szCs w:val="24"/>
        </w:rPr>
        <w:tab/>
      </w:r>
      <w:r w:rsidR="00A434D5">
        <w:rPr>
          <w:sz w:val="24"/>
          <w:szCs w:val="24"/>
        </w:rPr>
        <w:t>Wie Lukács nutzen auch a</w:t>
      </w:r>
      <w:r w:rsidR="007B028F">
        <w:rPr>
          <w:sz w:val="24"/>
          <w:szCs w:val="24"/>
        </w:rPr>
        <w:t xml:space="preserve">ndere Teilnehmer die Gelegenheit, sich in </w:t>
      </w:r>
      <w:r w:rsidR="006C2326">
        <w:rPr>
          <w:sz w:val="24"/>
          <w:szCs w:val="24"/>
        </w:rPr>
        <w:t>den Vordergrund zu spielen</w:t>
      </w:r>
      <w:r w:rsidR="00BB7CE6">
        <w:rPr>
          <w:sz w:val="24"/>
          <w:szCs w:val="24"/>
        </w:rPr>
        <w:t xml:space="preserve"> und damit als echte „Bolschewisten“ zu präsentieren</w:t>
      </w:r>
      <w:r w:rsidR="006C2326">
        <w:rPr>
          <w:sz w:val="24"/>
          <w:szCs w:val="24"/>
        </w:rPr>
        <w:t>. Gustav</w:t>
      </w:r>
      <w:r w:rsidR="00EC7A82">
        <w:rPr>
          <w:sz w:val="24"/>
          <w:szCs w:val="24"/>
        </w:rPr>
        <w:t xml:space="preserve"> </w:t>
      </w:r>
      <w:r w:rsidR="001013E5">
        <w:rPr>
          <w:sz w:val="24"/>
          <w:szCs w:val="24"/>
        </w:rPr>
        <w:t>Regler</w:t>
      </w:r>
      <w:r w:rsidR="006C2326">
        <w:rPr>
          <w:sz w:val="24"/>
          <w:szCs w:val="24"/>
        </w:rPr>
        <w:t xml:space="preserve"> z.B. teilt mit</w:t>
      </w:r>
      <w:r w:rsidR="00EC7A82">
        <w:rPr>
          <w:sz w:val="24"/>
          <w:szCs w:val="24"/>
        </w:rPr>
        <w:t xml:space="preserve"> – ein Sachverhalt, d</w:t>
      </w:r>
      <w:r w:rsidR="001013E5">
        <w:rPr>
          <w:sz w:val="24"/>
          <w:szCs w:val="24"/>
        </w:rPr>
        <w:t xml:space="preserve">er in </w:t>
      </w:r>
      <w:r w:rsidR="00603F97">
        <w:rPr>
          <w:sz w:val="24"/>
          <w:szCs w:val="24"/>
        </w:rPr>
        <w:t>s</w:t>
      </w:r>
      <w:r w:rsidR="008809C3">
        <w:rPr>
          <w:sz w:val="24"/>
          <w:szCs w:val="24"/>
        </w:rPr>
        <w:t>einer</w:t>
      </w:r>
      <w:r w:rsidR="00603F97">
        <w:rPr>
          <w:sz w:val="24"/>
          <w:szCs w:val="24"/>
        </w:rPr>
        <w:t xml:space="preserve"> Autobiografie</w:t>
      </w:r>
      <w:r w:rsidR="00BB7CE6">
        <w:rPr>
          <w:sz w:val="24"/>
          <w:szCs w:val="24"/>
        </w:rPr>
        <w:t xml:space="preserve"> übrigens</w:t>
      </w:r>
      <w:r w:rsidR="001013E5">
        <w:rPr>
          <w:sz w:val="24"/>
          <w:szCs w:val="24"/>
        </w:rPr>
        <w:t xml:space="preserve"> </w:t>
      </w:r>
      <w:r w:rsidR="001013E5" w:rsidRPr="00603F97">
        <w:rPr>
          <w:i/>
          <w:sz w:val="24"/>
          <w:szCs w:val="24"/>
        </w:rPr>
        <w:t>nicht</w:t>
      </w:r>
      <w:r w:rsidR="001013E5">
        <w:rPr>
          <w:sz w:val="24"/>
          <w:szCs w:val="24"/>
        </w:rPr>
        <w:t xml:space="preserve"> </w:t>
      </w:r>
      <w:r w:rsidR="006C2326">
        <w:rPr>
          <w:sz w:val="24"/>
          <w:szCs w:val="24"/>
        </w:rPr>
        <w:t>Er</w:t>
      </w:r>
      <w:r w:rsidR="001013E5">
        <w:rPr>
          <w:sz w:val="24"/>
          <w:szCs w:val="24"/>
        </w:rPr>
        <w:t>wähn</w:t>
      </w:r>
      <w:r w:rsidR="006C2326">
        <w:rPr>
          <w:sz w:val="24"/>
          <w:szCs w:val="24"/>
        </w:rPr>
        <w:t>ung findet</w:t>
      </w:r>
      <w:r w:rsidR="00EC7A82">
        <w:rPr>
          <w:sz w:val="24"/>
          <w:szCs w:val="24"/>
        </w:rPr>
        <w:t xml:space="preserve"> –, d</w:t>
      </w:r>
      <w:r w:rsidR="001013E5">
        <w:rPr>
          <w:sz w:val="24"/>
          <w:szCs w:val="24"/>
        </w:rPr>
        <w:t xml:space="preserve">ass er an der Redaktion der deutschen Fassung der </w:t>
      </w:r>
      <w:r w:rsidR="0020603E">
        <w:rPr>
          <w:sz w:val="24"/>
          <w:szCs w:val="24"/>
        </w:rPr>
        <w:t>„</w:t>
      </w:r>
      <w:r w:rsidR="001013E5">
        <w:rPr>
          <w:sz w:val="24"/>
          <w:szCs w:val="24"/>
        </w:rPr>
        <w:t>Prozess</w:t>
      </w:r>
      <w:r w:rsidR="00106B86">
        <w:rPr>
          <w:sz w:val="24"/>
          <w:szCs w:val="24"/>
        </w:rPr>
        <w:t>bericht</w:t>
      </w:r>
      <w:r w:rsidR="001013E5">
        <w:rPr>
          <w:sz w:val="24"/>
          <w:szCs w:val="24"/>
        </w:rPr>
        <w:t>e</w:t>
      </w:r>
      <w:r w:rsidR="0020603E">
        <w:rPr>
          <w:sz w:val="24"/>
          <w:szCs w:val="24"/>
        </w:rPr>
        <w:t>“</w:t>
      </w:r>
      <w:r w:rsidR="001013E5">
        <w:rPr>
          <w:sz w:val="24"/>
          <w:szCs w:val="24"/>
        </w:rPr>
        <w:t xml:space="preserve"> </w:t>
      </w:r>
      <w:r w:rsidR="00542E3C">
        <w:rPr>
          <w:sz w:val="24"/>
          <w:szCs w:val="24"/>
        </w:rPr>
        <w:t xml:space="preserve">– gemeint </w:t>
      </w:r>
      <w:r w:rsidR="00603F97">
        <w:rPr>
          <w:sz w:val="24"/>
          <w:szCs w:val="24"/>
        </w:rPr>
        <w:t>sind</w:t>
      </w:r>
      <w:r w:rsidR="00542E3C">
        <w:rPr>
          <w:sz w:val="24"/>
          <w:szCs w:val="24"/>
        </w:rPr>
        <w:t xml:space="preserve"> d</w:t>
      </w:r>
      <w:r w:rsidR="00603F97">
        <w:rPr>
          <w:sz w:val="24"/>
          <w:szCs w:val="24"/>
        </w:rPr>
        <w:t>ie Protokolle des ersten Schauprozesses</w:t>
      </w:r>
      <w:r w:rsidR="00542E3C">
        <w:rPr>
          <w:sz w:val="24"/>
          <w:szCs w:val="24"/>
        </w:rPr>
        <w:t xml:space="preserve"> – b</w:t>
      </w:r>
      <w:r w:rsidR="001013E5">
        <w:rPr>
          <w:sz w:val="24"/>
          <w:szCs w:val="24"/>
        </w:rPr>
        <w:t>eteiligt ist.</w:t>
      </w:r>
      <w:r w:rsidR="00106B86">
        <w:rPr>
          <w:rStyle w:val="Funotenzeichen"/>
          <w:sz w:val="24"/>
          <w:szCs w:val="24"/>
        </w:rPr>
        <w:footnoteReference w:id="13"/>
      </w:r>
      <w:r w:rsidR="00603F97">
        <w:rPr>
          <w:sz w:val="24"/>
          <w:szCs w:val="24"/>
        </w:rPr>
        <w:t xml:space="preserve"> </w:t>
      </w:r>
      <w:r w:rsidR="00BB7CE6">
        <w:rPr>
          <w:sz w:val="24"/>
          <w:szCs w:val="24"/>
        </w:rPr>
        <w:t xml:space="preserve">Geschickt </w:t>
      </w:r>
      <w:r w:rsidR="00C86CEE">
        <w:rPr>
          <w:sz w:val="24"/>
          <w:szCs w:val="24"/>
        </w:rPr>
        <w:t xml:space="preserve">macht </w:t>
      </w:r>
      <w:r w:rsidR="00BB7CE6">
        <w:rPr>
          <w:sz w:val="24"/>
          <w:szCs w:val="24"/>
        </w:rPr>
        <w:t xml:space="preserve">er </w:t>
      </w:r>
      <w:r w:rsidR="00C86CEE">
        <w:rPr>
          <w:sz w:val="24"/>
          <w:szCs w:val="24"/>
        </w:rPr>
        <w:t>auf diese Weise darauf aufmer</w:t>
      </w:r>
      <w:r w:rsidR="00C86CEE">
        <w:rPr>
          <w:sz w:val="24"/>
          <w:szCs w:val="24"/>
        </w:rPr>
        <w:t>k</w:t>
      </w:r>
      <w:r w:rsidR="00C86CEE">
        <w:rPr>
          <w:sz w:val="24"/>
          <w:szCs w:val="24"/>
        </w:rPr>
        <w:t>sam</w:t>
      </w:r>
      <w:r w:rsidR="00603F97">
        <w:rPr>
          <w:sz w:val="24"/>
          <w:szCs w:val="24"/>
        </w:rPr>
        <w:t xml:space="preserve">, dass die „sowjetischen Genossen“ an </w:t>
      </w:r>
      <w:r w:rsidR="00603F97" w:rsidRPr="00603F97">
        <w:rPr>
          <w:i/>
          <w:sz w:val="24"/>
          <w:szCs w:val="24"/>
        </w:rPr>
        <w:t>seiner</w:t>
      </w:r>
      <w:r w:rsidR="00603F97">
        <w:rPr>
          <w:sz w:val="24"/>
          <w:szCs w:val="24"/>
        </w:rPr>
        <w:t xml:space="preserve"> politischen Zuverlässigkeit </w:t>
      </w:r>
      <w:r w:rsidR="00C86CEE">
        <w:rPr>
          <w:sz w:val="24"/>
          <w:szCs w:val="24"/>
        </w:rPr>
        <w:t xml:space="preserve">– im Gegensatz zu der Zuverlässigkeit anderer Anwesender – </w:t>
      </w:r>
      <w:r w:rsidR="00BB7CE6">
        <w:rPr>
          <w:i/>
          <w:sz w:val="24"/>
          <w:szCs w:val="24"/>
        </w:rPr>
        <w:t>nicht den geringsten</w:t>
      </w:r>
      <w:r w:rsidR="000D2F50">
        <w:rPr>
          <w:sz w:val="24"/>
          <w:szCs w:val="24"/>
        </w:rPr>
        <w:t xml:space="preserve"> </w:t>
      </w:r>
      <w:r w:rsidR="000D2F50" w:rsidRPr="00BB7CE6">
        <w:rPr>
          <w:i/>
          <w:sz w:val="24"/>
          <w:szCs w:val="24"/>
        </w:rPr>
        <w:t>Zweifel</w:t>
      </w:r>
      <w:r w:rsidR="000D2F50">
        <w:rPr>
          <w:sz w:val="24"/>
          <w:szCs w:val="24"/>
        </w:rPr>
        <w:t xml:space="preserve"> haben.</w:t>
      </w:r>
      <w:r w:rsidR="00603F97">
        <w:rPr>
          <w:sz w:val="24"/>
          <w:szCs w:val="24"/>
        </w:rPr>
        <w:t xml:space="preserve"> </w:t>
      </w:r>
    </w:p>
    <w:p w:rsidR="005F0643" w:rsidRDefault="005F0643" w:rsidP="00A046FA">
      <w:pPr>
        <w:spacing w:after="0"/>
        <w:jc w:val="both"/>
        <w:rPr>
          <w:sz w:val="24"/>
          <w:szCs w:val="24"/>
        </w:rPr>
      </w:pPr>
      <w:r>
        <w:rPr>
          <w:sz w:val="24"/>
          <w:szCs w:val="24"/>
        </w:rPr>
        <w:tab/>
        <w:t>Sie alle zeigen auf dieser Versammlung ihr „</w:t>
      </w:r>
      <w:r w:rsidR="00106B86">
        <w:rPr>
          <w:sz w:val="24"/>
          <w:szCs w:val="24"/>
        </w:rPr>
        <w:t>Parteig</w:t>
      </w:r>
      <w:r>
        <w:rPr>
          <w:sz w:val="24"/>
          <w:szCs w:val="24"/>
        </w:rPr>
        <w:t>esicht“,</w:t>
      </w:r>
      <w:r w:rsidR="00106B86">
        <w:rPr>
          <w:rStyle w:val="Funotenzeichen"/>
          <w:sz w:val="24"/>
          <w:szCs w:val="24"/>
        </w:rPr>
        <w:footnoteReference w:id="14"/>
      </w:r>
      <w:r>
        <w:rPr>
          <w:sz w:val="24"/>
          <w:szCs w:val="24"/>
        </w:rPr>
        <w:t xml:space="preserve"> decken also ihre polit</w:t>
      </w:r>
      <w:r>
        <w:rPr>
          <w:sz w:val="24"/>
          <w:szCs w:val="24"/>
        </w:rPr>
        <w:t>i</w:t>
      </w:r>
      <w:r>
        <w:rPr>
          <w:sz w:val="24"/>
          <w:szCs w:val="24"/>
        </w:rPr>
        <w:t xml:space="preserve">schen und persönlichen Beziehungen speziell zu den Mitemigranten auf, die jetzt öffentlich als „Verräter“, </w:t>
      </w:r>
      <w:r w:rsidR="00BB7CE6">
        <w:rPr>
          <w:sz w:val="24"/>
          <w:szCs w:val="24"/>
        </w:rPr>
        <w:t xml:space="preserve">als </w:t>
      </w:r>
      <w:r>
        <w:rPr>
          <w:sz w:val="24"/>
          <w:szCs w:val="24"/>
        </w:rPr>
        <w:t>„Trotzkisten“ oder</w:t>
      </w:r>
      <w:r w:rsidR="00BB7CE6">
        <w:rPr>
          <w:sz w:val="24"/>
          <w:szCs w:val="24"/>
        </w:rPr>
        <w:t xml:space="preserve"> als</w:t>
      </w:r>
      <w:r>
        <w:rPr>
          <w:sz w:val="24"/>
          <w:szCs w:val="24"/>
        </w:rPr>
        <w:t xml:space="preserve"> „Parteifeinde“ gebrandmarkt </w:t>
      </w:r>
      <w:r w:rsidR="007F2900">
        <w:rPr>
          <w:sz w:val="24"/>
          <w:szCs w:val="24"/>
        </w:rPr>
        <w:t>werden</w:t>
      </w:r>
      <w:r>
        <w:rPr>
          <w:sz w:val="24"/>
          <w:szCs w:val="24"/>
        </w:rPr>
        <w:t>, denen sie j</w:t>
      </w:r>
      <w:r>
        <w:rPr>
          <w:sz w:val="24"/>
          <w:szCs w:val="24"/>
        </w:rPr>
        <w:t>e</w:t>
      </w:r>
      <w:r>
        <w:rPr>
          <w:sz w:val="24"/>
          <w:szCs w:val="24"/>
        </w:rPr>
        <w:t xml:space="preserve">doch </w:t>
      </w:r>
      <w:r w:rsidR="007F2900">
        <w:rPr>
          <w:sz w:val="24"/>
          <w:szCs w:val="24"/>
        </w:rPr>
        <w:t xml:space="preserve">teilweise bis noch vor wenigen Wochen </w:t>
      </w:r>
      <w:r>
        <w:rPr>
          <w:sz w:val="24"/>
          <w:szCs w:val="24"/>
        </w:rPr>
        <w:t>– menschlich, politisch und aufgrund gemei</w:t>
      </w:r>
      <w:r>
        <w:rPr>
          <w:sz w:val="24"/>
          <w:szCs w:val="24"/>
        </w:rPr>
        <w:t>n</w:t>
      </w:r>
      <w:r>
        <w:rPr>
          <w:sz w:val="24"/>
          <w:szCs w:val="24"/>
        </w:rPr>
        <w:t>samer ästhetisch-literaturpolitischer Überzeugungen –</w:t>
      </w:r>
      <w:r w:rsidR="007F2900">
        <w:rPr>
          <w:sz w:val="24"/>
          <w:szCs w:val="24"/>
        </w:rPr>
        <w:t xml:space="preserve"> </w:t>
      </w:r>
      <w:r>
        <w:rPr>
          <w:sz w:val="24"/>
          <w:szCs w:val="24"/>
        </w:rPr>
        <w:t>nahegestanden haben.</w:t>
      </w:r>
      <w:r w:rsidR="00106B86">
        <w:rPr>
          <w:rStyle w:val="Funotenzeichen"/>
          <w:sz w:val="24"/>
          <w:szCs w:val="24"/>
        </w:rPr>
        <w:footnoteReference w:id="15"/>
      </w:r>
      <w:r>
        <w:rPr>
          <w:sz w:val="24"/>
          <w:szCs w:val="24"/>
        </w:rPr>
        <w:t xml:space="preserve"> Alle beteiligen sich an diesem „Klärungsprozess“. Sie unterstützen ihn „mit Kräften und aktiv“. </w:t>
      </w:r>
      <w:r w:rsidR="00C86CEE">
        <w:rPr>
          <w:sz w:val="24"/>
          <w:szCs w:val="24"/>
        </w:rPr>
        <w:t xml:space="preserve">Speziell Georg </w:t>
      </w:r>
      <w:r>
        <w:rPr>
          <w:sz w:val="24"/>
          <w:szCs w:val="24"/>
        </w:rPr>
        <w:t>Lukács macht sich zum Wortführer der jetzt erforderlichen Aufklärung</w:t>
      </w:r>
      <w:r w:rsidR="00C86CEE">
        <w:rPr>
          <w:sz w:val="24"/>
          <w:szCs w:val="24"/>
        </w:rPr>
        <w:t xml:space="preserve">. Er </w:t>
      </w:r>
      <w:r>
        <w:rPr>
          <w:sz w:val="24"/>
          <w:szCs w:val="24"/>
        </w:rPr>
        <w:t xml:space="preserve">präzisiert die Aufgabe der Versammlung mit einer für die Situation charakteristischen </w:t>
      </w:r>
      <w:r w:rsidR="00C86CEE">
        <w:rPr>
          <w:sz w:val="24"/>
          <w:szCs w:val="24"/>
        </w:rPr>
        <w:t>T</w:t>
      </w:r>
      <w:r>
        <w:rPr>
          <w:sz w:val="24"/>
          <w:szCs w:val="24"/>
        </w:rPr>
        <w:t>autologi</w:t>
      </w:r>
      <w:r w:rsidR="00C86CEE">
        <w:rPr>
          <w:sz w:val="24"/>
          <w:szCs w:val="24"/>
        </w:rPr>
        <w:t>e</w:t>
      </w:r>
      <w:r>
        <w:rPr>
          <w:sz w:val="24"/>
          <w:szCs w:val="24"/>
        </w:rPr>
        <w:t>: „Ich glaube, das zentrale Problem ist das Problem des Versagens unserer Wachsamkeit“.</w:t>
      </w:r>
      <w:r w:rsidR="002A2C0F">
        <w:rPr>
          <w:rStyle w:val="Funotenzeichen"/>
          <w:sz w:val="24"/>
          <w:szCs w:val="24"/>
        </w:rPr>
        <w:footnoteReference w:id="16"/>
      </w:r>
      <w:r>
        <w:rPr>
          <w:sz w:val="24"/>
          <w:szCs w:val="24"/>
        </w:rPr>
        <w:t xml:space="preserve"> </w:t>
      </w:r>
      <w:r w:rsidR="00D43F2A">
        <w:rPr>
          <w:sz w:val="24"/>
          <w:szCs w:val="24"/>
        </w:rPr>
        <w:t>– F</w:t>
      </w:r>
      <w:r>
        <w:rPr>
          <w:sz w:val="24"/>
          <w:szCs w:val="24"/>
        </w:rPr>
        <w:t>rie</w:t>
      </w:r>
      <w:r>
        <w:rPr>
          <w:sz w:val="24"/>
          <w:szCs w:val="24"/>
        </w:rPr>
        <w:t>d</w:t>
      </w:r>
      <w:r>
        <w:rPr>
          <w:sz w:val="24"/>
          <w:szCs w:val="24"/>
        </w:rPr>
        <w:t xml:space="preserve">rich Wolf distanziert sich entschieden </w:t>
      </w:r>
      <w:r w:rsidR="00C86CEE">
        <w:rPr>
          <w:sz w:val="24"/>
          <w:szCs w:val="24"/>
        </w:rPr>
        <w:t>sogar von</w:t>
      </w:r>
      <w:r w:rsidR="000D2F50">
        <w:rPr>
          <w:sz w:val="24"/>
          <w:szCs w:val="24"/>
        </w:rPr>
        <w:t xml:space="preserve"> enge</w:t>
      </w:r>
      <w:r w:rsidR="00C86CEE">
        <w:rPr>
          <w:sz w:val="24"/>
          <w:szCs w:val="24"/>
        </w:rPr>
        <w:t>n</w:t>
      </w:r>
      <w:r w:rsidR="000D2F50">
        <w:rPr>
          <w:sz w:val="24"/>
          <w:szCs w:val="24"/>
        </w:rPr>
        <w:t xml:space="preserve"> Freunde</w:t>
      </w:r>
      <w:r w:rsidR="00824B00">
        <w:rPr>
          <w:sz w:val="24"/>
          <w:szCs w:val="24"/>
        </w:rPr>
        <w:t>n</w:t>
      </w:r>
      <w:r w:rsidR="00C86CEE">
        <w:rPr>
          <w:sz w:val="24"/>
          <w:szCs w:val="24"/>
        </w:rPr>
        <w:t>, in diesem Fall von Hans Günther, von dem er zwar sagt, dass er ihn „sehr schätze“,</w:t>
      </w:r>
      <w:r w:rsidR="00D43F2A">
        <w:rPr>
          <w:sz w:val="24"/>
          <w:szCs w:val="24"/>
        </w:rPr>
        <w:t xml:space="preserve"> zugleich aber betont, dass er von ihm „nicht das Gefühl der restlosen Wahrhaftigkeit“ habe.</w:t>
      </w:r>
      <w:r w:rsidR="00C86CEE">
        <w:rPr>
          <w:rStyle w:val="Funotenzeichen"/>
          <w:sz w:val="24"/>
          <w:szCs w:val="24"/>
        </w:rPr>
        <w:footnoteReference w:id="17"/>
      </w:r>
      <w:r w:rsidR="00C86CEE">
        <w:rPr>
          <w:sz w:val="24"/>
          <w:szCs w:val="24"/>
        </w:rPr>
        <w:t xml:space="preserve"> </w:t>
      </w:r>
      <w:r w:rsidR="00D43F2A">
        <w:rPr>
          <w:sz w:val="24"/>
          <w:szCs w:val="24"/>
        </w:rPr>
        <w:t>Wolf stellt sich als gutgläubige</w:t>
      </w:r>
      <w:r w:rsidR="00824B00">
        <w:rPr>
          <w:sz w:val="24"/>
          <w:szCs w:val="24"/>
        </w:rPr>
        <w:t>n</w:t>
      </w:r>
      <w:r w:rsidR="00D43F2A">
        <w:rPr>
          <w:sz w:val="24"/>
          <w:szCs w:val="24"/>
        </w:rPr>
        <w:t>, vertrauensselige</w:t>
      </w:r>
      <w:r w:rsidR="00824B00">
        <w:rPr>
          <w:sz w:val="24"/>
          <w:szCs w:val="24"/>
        </w:rPr>
        <w:t>n</w:t>
      </w:r>
      <w:r w:rsidR="00D43F2A">
        <w:rPr>
          <w:sz w:val="24"/>
          <w:szCs w:val="24"/>
        </w:rPr>
        <w:t xml:space="preserve"> Literat</w:t>
      </w:r>
      <w:r w:rsidR="00824B00">
        <w:rPr>
          <w:sz w:val="24"/>
          <w:szCs w:val="24"/>
        </w:rPr>
        <w:t>en</w:t>
      </w:r>
      <w:r w:rsidR="00D43F2A">
        <w:rPr>
          <w:sz w:val="24"/>
          <w:szCs w:val="24"/>
        </w:rPr>
        <w:t xml:space="preserve"> ohne Menschenkenntnis dar. Angesichts des ungeheuerlichen p</w:t>
      </w:r>
      <w:r w:rsidR="00D43F2A">
        <w:rPr>
          <w:sz w:val="24"/>
          <w:szCs w:val="24"/>
        </w:rPr>
        <w:t>o</w:t>
      </w:r>
      <w:r w:rsidR="00D43F2A">
        <w:rPr>
          <w:sz w:val="24"/>
          <w:szCs w:val="24"/>
        </w:rPr>
        <w:t xml:space="preserve">litischen Verrats, der jetzt </w:t>
      </w:r>
      <w:r w:rsidR="00824B00">
        <w:rPr>
          <w:sz w:val="24"/>
          <w:szCs w:val="24"/>
        </w:rPr>
        <w:t>sicht</w:t>
      </w:r>
      <w:r w:rsidR="00D43F2A">
        <w:rPr>
          <w:sz w:val="24"/>
          <w:szCs w:val="24"/>
        </w:rPr>
        <w:t>bar w</w:t>
      </w:r>
      <w:r w:rsidR="007F2900">
        <w:rPr>
          <w:sz w:val="24"/>
          <w:szCs w:val="24"/>
        </w:rPr>
        <w:t>e</w:t>
      </w:r>
      <w:r w:rsidR="00D43F2A">
        <w:rPr>
          <w:sz w:val="24"/>
          <w:szCs w:val="24"/>
        </w:rPr>
        <w:t>rd</w:t>
      </w:r>
      <w:r w:rsidR="007F2900">
        <w:rPr>
          <w:sz w:val="24"/>
          <w:szCs w:val="24"/>
        </w:rPr>
        <w:t>e</w:t>
      </w:r>
      <w:r w:rsidR="00D43F2A">
        <w:rPr>
          <w:sz w:val="24"/>
          <w:szCs w:val="24"/>
        </w:rPr>
        <w:t>, s</w:t>
      </w:r>
      <w:r w:rsidR="00824B00">
        <w:rPr>
          <w:sz w:val="24"/>
          <w:szCs w:val="24"/>
        </w:rPr>
        <w:t>ähe</w:t>
      </w:r>
      <w:r w:rsidR="00D43F2A">
        <w:rPr>
          <w:sz w:val="24"/>
          <w:szCs w:val="24"/>
        </w:rPr>
        <w:t xml:space="preserve"> er, wie er vor den versammelten Kollegen selbstkritisch eingesteht, ein, dass er die</w:t>
      </w:r>
      <w:r w:rsidR="007F2900">
        <w:rPr>
          <w:sz w:val="24"/>
          <w:szCs w:val="24"/>
        </w:rPr>
        <w:t xml:space="preserve"> bisherige</w:t>
      </w:r>
      <w:r w:rsidR="00D43F2A">
        <w:rPr>
          <w:sz w:val="24"/>
          <w:szCs w:val="24"/>
        </w:rPr>
        <w:t xml:space="preserve"> Haltung unbedingt korrigieren müsse:</w:t>
      </w:r>
      <w:r>
        <w:rPr>
          <w:sz w:val="24"/>
          <w:szCs w:val="24"/>
        </w:rPr>
        <w:t xml:space="preserve"> „</w:t>
      </w:r>
      <w:r w:rsidR="00D43F2A">
        <w:rPr>
          <w:sz w:val="24"/>
          <w:szCs w:val="24"/>
        </w:rPr>
        <w:t xml:space="preserve">Ich habe mich nachgeprüft. </w:t>
      </w:r>
      <w:r>
        <w:rPr>
          <w:sz w:val="24"/>
          <w:szCs w:val="24"/>
        </w:rPr>
        <w:t xml:space="preserve">Am Anfang habe ich auch gedacht, das ist doch nicht möglich, den </w:t>
      </w:r>
      <w:r>
        <w:rPr>
          <w:sz w:val="24"/>
          <w:szCs w:val="24"/>
        </w:rPr>
        <w:lastRenderedPageBreak/>
        <w:t xml:space="preserve">kenne ich doch, aber ich </w:t>
      </w:r>
      <w:proofErr w:type="spellStart"/>
      <w:r>
        <w:rPr>
          <w:sz w:val="24"/>
          <w:szCs w:val="24"/>
        </w:rPr>
        <w:t>muß</w:t>
      </w:r>
      <w:proofErr w:type="spellEnd"/>
      <w:r>
        <w:rPr>
          <w:sz w:val="24"/>
          <w:szCs w:val="24"/>
        </w:rPr>
        <w:t xml:space="preserve"> sagen, </w:t>
      </w:r>
      <w:r w:rsidRPr="00D43F2A">
        <w:rPr>
          <w:i/>
          <w:sz w:val="24"/>
          <w:szCs w:val="24"/>
        </w:rPr>
        <w:t xml:space="preserve">damit müssen wir radikal </w:t>
      </w:r>
      <w:proofErr w:type="spellStart"/>
      <w:r w:rsidRPr="00D43F2A">
        <w:rPr>
          <w:i/>
          <w:sz w:val="24"/>
          <w:szCs w:val="24"/>
        </w:rPr>
        <w:t>Schluß</w:t>
      </w:r>
      <w:proofErr w:type="spellEnd"/>
      <w:r w:rsidRPr="00D43F2A">
        <w:rPr>
          <w:i/>
          <w:sz w:val="24"/>
          <w:szCs w:val="24"/>
        </w:rPr>
        <w:t xml:space="preserve"> machen</w:t>
      </w:r>
      <w:r>
        <w:rPr>
          <w:sz w:val="24"/>
          <w:szCs w:val="24"/>
        </w:rPr>
        <w:t>.“</w:t>
      </w:r>
      <w:r w:rsidR="00514CD2">
        <w:rPr>
          <w:rStyle w:val="Funotenzeichen"/>
          <w:sz w:val="24"/>
          <w:szCs w:val="24"/>
        </w:rPr>
        <w:footnoteReference w:id="18"/>
      </w:r>
      <w:r w:rsidR="009B551F">
        <w:rPr>
          <w:sz w:val="24"/>
          <w:szCs w:val="24"/>
        </w:rPr>
        <w:t xml:space="preserve"> „Schluss machen“ – das Wort assoziiert den Begriff „Liquidierung“.</w:t>
      </w:r>
    </w:p>
    <w:p w:rsidR="00136596" w:rsidRDefault="00136596" w:rsidP="00A046FA">
      <w:pPr>
        <w:spacing w:after="0"/>
        <w:jc w:val="both"/>
        <w:rPr>
          <w:sz w:val="24"/>
          <w:szCs w:val="24"/>
        </w:rPr>
      </w:pPr>
      <w:r>
        <w:rPr>
          <w:sz w:val="24"/>
          <w:szCs w:val="24"/>
        </w:rPr>
        <w:tab/>
      </w:r>
      <w:r w:rsidR="00CD2E85">
        <w:rPr>
          <w:sz w:val="24"/>
          <w:szCs w:val="24"/>
        </w:rPr>
        <w:t xml:space="preserve">Es werden Beschuldigungen </w:t>
      </w:r>
      <w:r w:rsidR="009B551F">
        <w:rPr>
          <w:sz w:val="24"/>
          <w:szCs w:val="24"/>
        </w:rPr>
        <w:t xml:space="preserve">gegen Nichtanwesende </w:t>
      </w:r>
      <w:r w:rsidR="00824B00">
        <w:rPr>
          <w:sz w:val="24"/>
          <w:szCs w:val="24"/>
        </w:rPr>
        <w:t>vorgebracht</w:t>
      </w:r>
      <w:r w:rsidR="00CD2E85">
        <w:rPr>
          <w:sz w:val="24"/>
          <w:szCs w:val="24"/>
        </w:rPr>
        <w:t xml:space="preserve">, so von Ernst </w:t>
      </w:r>
      <w:proofErr w:type="spellStart"/>
      <w:r w:rsidR="00CD2E85">
        <w:rPr>
          <w:sz w:val="24"/>
          <w:szCs w:val="24"/>
        </w:rPr>
        <w:t>Ottwalt</w:t>
      </w:r>
      <w:proofErr w:type="spellEnd"/>
      <w:r w:rsidR="00CD2E85">
        <w:rPr>
          <w:sz w:val="24"/>
          <w:szCs w:val="24"/>
        </w:rPr>
        <w:t xml:space="preserve"> gegenüber </w:t>
      </w:r>
      <w:r w:rsidR="009B551F">
        <w:rPr>
          <w:sz w:val="24"/>
          <w:szCs w:val="24"/>
        </w:rPr>
        <w:t xml:space="preserve">Trude Richter (d.i. Erna </w:t>
      </w:r>
      <w:proofErr w:type="spellStart"/>
      <w:r w:rsidR="009B551F">
        <w:rPr>
          <w:sz w:val="24"/>
          <w:szCs w:val="24"/>
        </w:rPr>
        <w:t>Barnick</w:t>
      </w:r>
      <w:proofErr w:type="spellEnd"/>
      <w:r w:rsidR="009B551F">
        <w:rPr>
          <w:sz w:val="24"/>
          <w:szCs w:val="24"/>
        </w:rPr>
        <w:t xml:space="preserve">), der Lebensgefährtin von Hans Günther. </w:t>
      </w:r>
      <w:r w:rsidR="00824B00">
        <w:rPr>
          <w:sz w:val="24"/>
          <w:szCs w:val="24"/>
        </w:rPr>
        <w:t>Offen</w:t>
      </w:r>
      <w:r w:rsidR="001F5B32">
        <w:rPr>
          <w:sz w:val="24"/>
          <w:szCs w:val="24"/>
        </w:rPr>
        <w:t xml:space="preserve"> wird </w:t>
      </w:r>
      <w:r w:rsidR="006450AC">
        <w:rPr>
          <w:sz w:val="24"/>
          <w:szCs w:val="24"/>
        </w:rPr>
        <w:t xml:space="preserve">gegen sie </w:t>
      </w:r>
      <w:r w:rsidR="001F5B32">
        <w:rPr>
          <w:sz w:val="24"/>
          <w:szCs w:val="24"/>
        </w:rPr>
        <w:t xml:space="preserve">der Vorwurf konspirativer Zusammenarbeit mit „Trotzkisten“ erhoben und mit konkreten Hinweisen auf ein immer wieder angesprochenes Zentrum des „Trotzkismus“: Prag, </w:t>
      </w:r>
      <w:r w:rsidR="006450AC">
        <w:rPr>
          <w:sz w:val="24"/>
          <w:szCs w:val="24"/>
        </w:rPr>
        <w:t xml:space="preserve">eines der zentralen Fluchtzentren, </w:t>
      </w:r>
      <w:r w:rsidR="001F5B32">
        <w:rPr>
          <w:sz w:val="24"/>
          <w:szCs w:val="24"/>
        </w:rPr>
        <w:t>untermauert</w:t>
      </w:r>
      <w:r w:rsidR="009B551F">
        <w:rPr>
          <w:sz w:val="24"/>
          <w:szCs w:val="24"/>
        </w:rPr>
        <w:t xml:space="preserve">: </w:t>
      </w:r>
    </w:p>
    <w:p w:rsidR="00CD2E85" w:rsidRDefault="00CD2E85" w:rsidP="00A046FA">
      <w:pPr>
        <w:spacing w:after="0"/>
        <w:ind w:left="1134"/>
        <w:jc w:val="both"/>
        <w:rPr>
          <w:i/>
          <w:sz w:val="24"/>
          <w:szCs w:val="24"/>
        </w:rPr>
      </w:pPr>
      <w:r>
        <w:rPr>
          <w:sz w:val="24"/>
          <w:szCs w:val="24"/>
        </w:rPr>
        <w:t xml:space="preserve">„Ich habe Trude nach ihrer Rückkehr aus Prag in Berlin gesprochen und bis zu meiner Emigration laufend gesprochen. Ich erinnere mich, </w:t>
      </w:r>
      <w:proofErr w:type="spellStart"/>
      <w:r>
        <w:rPr>
          <w:sz w:val="24"/>
          <w:szCs w:val="24"/>
        </w:rPr>
        <w:t>daß</w:t>
      </w:r>
      <w:proofErr w:type="spellEnd"/>
      <w:r>
        <w:rPr>
          <w:sz w:val="24"/>
          <w:szCs w:val="24"/>
        </w:rPr>
        <w:t xml:space="preserve"> die Genossin Tr</w:t>
      </w:r>
      <w:r>
        <w:rPr>
          <w:sz w:val="24"/>
          <w:szCs w:val="24"/>
        </w:rPr>
        <w:t>u</w:t>
      </w:r>
      <w:r>
        <w:rPr>
          <w:sz w:val="24"/>
          <w:szCs w:val="24"/>
        </w:rPr>
        <w:t xml:space="preserve">de in Prag war und </w:t>
      </w:r>
      <w:proofErr w:type="spellStart"/>
      <w:r>
        <w:rPr>
          <w:sz w:val="24"/>
          <w:szCs w:val="24"/>
        </w:rPr>
        <w:t>daß</w:t>
      </w:r>
      <w:proofErr w:type="spellEnd"/>
      <w:r>
        <w:rPr>
          <w:sz w:val="24"/>
          <w:szCs w:val="24"/>
        </w:rPr>
        <w:t xml:space="preserve"> ich entsetzt war, in was für einem Zustand sie nach Hause kam. Ich halte es für richtig, hier davon zu sprechen, da diese Sachen nicht ohne Folgen gewesen sind. Ich möchte nähere Einzelheiten nicht erzählen. Aber wir waren im Winter 1933 gezwungen, </w:t>
      </w:r>
      <w:r>
        <w:rPr>
          <w:i/>
          <w:sz w:val="24"/>
          <w:szCs w:val="24"/>
        </w:rPr>
        <w:t>die Gen. Trude von ihrer Funktion zu enth</w:t>
      </w:r>
      <w:r>
        <w:rPr>
          <w:i/>
          <w:sz w:val="24"/>
          <w:szCs w:val="24"/>
        </w:rPr>
        <w:t>e</w:t>
      </w:r>
      <w:r>
        <w:rPr>
          <w:i/>
          <w:sz w:val="24"/>
          <w:szCs w:val="24"/>
        </w:rPr>
        <w:t>ben, weil sie einen Trotzkisten in eine Sitzung illegaler</w:t>
      </w:r>
      <w:r>
        <w:rPr>
          <w:sz w:val="24"/>
          <w:szCs w:val="24"/>
        </w:rPr>
        <w:t xml:space="preserve"> [sic, vermutlich: Illegaler] </w:t>
      </w:r>
      <w:r>
        <w:rPr>
          <w:i/>
          <w:sz w:val="24"/>
          <w:szCs w:val="24"/>
        </w:rPr>
        <w:t>eingeschmuggelt hatte. Sie solidarisierte sich damit. Der Vertreter des ATBD</w:t>
      </w:r>
      <w:r>
        <w:rPr>
          <w:sz w:val="24"/>
          <w:szCs w:val="24"/>
        </w:rPr>
        <w:t xml:space="preserve"> [Arbeiter-Theater-Bund Deutschlands] </w:t>
      </w:r>
      <w:r>
        <w:rPr>
          <w:i/>
          <w:sz w:val="24"/>
          <w:szCs w:val="24"/>
        </w:rPr>
        <w:t xml:space="preserve">weigerte sich, mit den Schriftstellern zu tun zu haben, und es stellte sich heraus, </w:t>
      </w:r>
      <w:proofErr w:type="spellStart"/>
      <w:r>
        <w:rPr>
          <w:i/>
          <w:sz w:val="24"/>
          <w:szCs w:val="24"/>
        </w:rPr>
        <w:t>daß</w:t>
      </w:r>
      <w:proofErr w:type="spellEnd"/>
      <w:r>
        <w:rPr>
          <w:i/>
          <w:sz w:val="24"/>
          <w:szCs w:val="24"/>
        </w:rPr>
        <w:t xml:space="preserve"> dort ein </w:t>
      </w:r>
      <w:r w:rsidR="00415413">
        <w:rPr>
          <w:i/>
          <w:sz w:val="24"/>
          <w:szCs w:val="24"/>
        </w:rPr>
        <w:t>M</w:t>
      </w:r>
      <w:r>
        <w:rPr>
          <w:i/>
          <w:sz w:val="24"/>
          <w:szCs w:val="24"/>
        </w:rPr>
        <w:t>ann aufgetreten war</w:t>
      </w:r>
      <w:r>
        <w:rPr>
          <w:sz w:val="24"/>
          <w:szCs w:val="24"/>
        </w:rPr>
        <w:t xml:space="preserve"> […] </w:t>
      </w:r>
      <w:r>
        <w:rPr>
          <w:i/>
          <w:sz w:val="24"/>
          <w:szCs w:val="24"/>
        </w:rPr>
        <w:t>und mit einem Mandat eine rein trotzkistische Position bezogen hatte.</w:t>
      </w:r>
      <w:r w:rsidR="00415413">
        <w:rPr>
          <w:sz w:val="24"/>
          <w:szCs w:val="24"/>
        </w:rPr>
        <w:t xml:space="preserve"> Ich möchte das ausführen, weil eine derartige Stimmung unter den Umständen und in einer derartig politisch heißen Situation öfter zu einer Schädigung der Arbeit im Lande geführt hat. Ich habe festgestellt, </w:t>
      </w:r>
      <w:proofErr w:type="spellStart"/>
      <w:r w:rsidR="00415413">
        <w:rPr>
          <w:sz w:val="24"/>
          <w:szCs w:val="24"/>
        </w:rPr>
        <w:t>daß</w:t>
      </w:r>
      <w:proofErr w:type="spellEnd"/>
      <w:r w:rsidR="00415413">
        <w:rPr>
          <w:sz w:val="24"/>
          <w:szCs w:val="24"/>
        </w:rPr>
        <w:t xml:space="preserve"> die Gen. </w:t>
      </w:r>
      <w:r w:rsidR="00415413">
        <w:rPr>
          <w:i/>
          <w:sz w:val="24"/>
          <w:szCs w:val="24"/>
        </w:rPr>
        <w:t>Trude über verschiedene parteip</w:t>
      </w:r>
      <w:r w:rsidR="00415413">
        <w:rPr>
          <w:i/>
          <w:sz w:val="24"/>
          <w:szCs w:val="24"/>
        </w:rPr>
        <w:t>o</w:t>
      </w:r>
      <w:r w:rsidR="00415413">
        <w:rPr>
          <w:i/>
          <w:sz w:val="24"/>
          <w:szCs w:val="24"/>
        </w:rPr>
        <w:t>litisch wichtige Fragen Ende 1933 absolut parteifeindliche Einstellungen ha</w:t>
      </w:r>
      <w:r w:rsidR="00415413">
        <w:rPr>
          <w:i/>
          <w:sz w:val="24"/>
          <w:szCs w:val="24"/>
        </w:rPr>
        <w:t>t</w:t>
      </w:r>
      <w:r w:rsidR="00415413">
        <w:rPr>
          <w:i/>
          <w:sz w:val="24"/>
          <w:szCs w:val="24"/>
        </w:rPr>
        <w:t>te.“</w:t>
      </w:r>
      <w:r w:rsidR="00415413" w:rsidRPr="00415413">
        <w:rPr>
          <w:rStyle w:val="Funotenzeichen"/>
          <w:sz w:val="24"/>
          <w:szCs w:val="24"/>
        </w:rPr>
        <w:footnoteReference w:id="19"/>
      </w:r>
    </w:p>
    <w:p w:rsidR="00415413" w:rsidRPr="00415413" w:rsidRDefault="00415413" w:rsidP="00A046FA">
      <w:pPr>
        <w:spacing w:after="0"/>
        <w:jc w:val="both"/>
        <w:rPr>
          <w:sz w:val="24"/>
          <w:szCs w:val="24"/>
        </w:rPr>
      </w:pPr>
      <w:r>
        <w:rPr>
          <w:sz w:val="24"/>
          <w:szCs w:val="24"/>
        </w:rPr>
        <w:t xml:space="preserve">Ernst </w:t>
      </w:r>
      <w:proofErr w:type="spellStart"/>
      <w:r>
        <w:rPr>
          <w:sz w:val="24"/>
          <w:szCs w:val="24"/>
        </w:rPr>
        <w:t>Ottwalt</w:t>
      </w:r>
      <w:proofErr w:type="spellEnd"/>
      <w:r>
        <w:rPr>
          <w:sz w:val="24"/>
          <w:szCs w:val="24"/>
        </w:rPr>
        <w:t xml:space="preserve"> musste sich </w:t>
      </w:r>
      <w:r w:rsidR="006450AC">
        <w:rPr>
          <w:sz w:val="24"/>
          <w:szCs w:val="24"/>
        </w:rPr>
        <w:t xml:space="preserve">in diesem </w:t>
      </w:r>
      <w:proofErr w:type="spellStart"/>
      <w:r w:rsidR="006450AC">
        <w:rPr>
          <w:sz w:val="24"/>
          <w:szCs w:val="24"/>
        </w:rPr>
        <w:t>Augeblick</w:t>
      </w:r>
      <w:proofErr w:type="spellEnd"/>
      <w:r w:rsidR="006450AC">
        <w:rPr>
          <w:sz w:val="24"/>
          <w:szCs w:val="24"/>
        </w:rPr>
        <w:t xml:space="preserve"> </w:t>
      </w:r>
      <w:r>
        <w:rPr>
          <w:sz w:val="24"/>
          <w:szCs w:val="24"/>
        </w:rPr>
        <w:t xml:space="preserve">darüber im Klaren sein, dass er </w:t>
      </w:r>
      <w:r w:rsidR="006450AC">
        <w:rPr>
          <w:sz w:val="24"/>
          <w:szCs w:val="24"/>
        </w:rPr>
        <w:t xml:space="preserve">Trude Richter </w:t>
      </w:r>
      <w:r>
        <w:rPr>
          <w:sz w:val="24"/>
          <w:szCs w:val="24"/>
        </w:rPr>
        <w:t xml:space="preserve">mit einer solchen Äußerung den Verfolgungsinstanzen auslieferte. Tatsächlich wurde </w:t>
      </w:r>
      <w:r w:rsidR="006450AC">
        <w:rPr>
          <w:sz w:val="24"/>
          <w:szCs w:val="24"/>
        </w:rPr>
        <w:t xml:space="preserve">sie </w:t>
      </w:r>
      <w:r>
        <w:rPr>
          <w:sz w:val="24"/>
          <w:szCs w:val="24"/>
        </w:rPr>
        <w:t xml:space="preserve">am </w:t>
      </w:r>
      <w:r w:rsidR="00EE6D37">
        <w:rPr>
          <w:sz w:val="24"/>
          <w:szCs w:val="24"/>
        </w:rPr>
        <w:t>4. November 1936 verhaftet und zu fünf Jahren Zwangsarbeit verurteilt.</w:t>
      </w:r>
      <w:r w:rsidR="00EE6D37">
        <w:rPr>
          <w:rStyle w:val="Funotenzeichen"/>
          <w:sz w:val="24"/>
          <w:szCs w:val="24"/>
        </w:rPr>
        <w:footnoteReference w:id="20"/>
      </w:r>
    </w:p>
    <w:p w:rsidR="000A6BB5" w:rsidRDefault="000A6BB5" w:rsidP="00A046FA">
      <w:pPr>
        <w:spacing w:after="0"/>
        <w:jc w:val="both"/>
        <w:rPr>
          <w:sz w:val="24"/>
          <w:szCs w:val="24"/>
        </w:rPr>
      </w:pPr>
      <w:r>
        <w:rPr>
          <w:sz w:val="24"/>
          <w:szCs w:val="24"/>
        </w:rPr>
        <w:tab/>
        <w:t>Es wird erkennbar, dass einige</w:t>
      </w:r>
      <w:r w:rsidR="006450AC">
        <w:rPr>
          <w:sz w:val="24"/>
          <w:szCs w:val="24"/>
        </w:rPr>
        <w:t xml:space="preserve"> Anwesende</w:t>
      </w:r>
      <w:r w:rsidR="00CA6A52">
        <w:rPr>
          <w:sz w:val="24"/>
          <w:szCs w:val="24"/>
        </w:rPr>
        <w:t>, speziell</w:t>
      </w:r>
      <w:r>
        <w:rPr>
          <w:sz w:val="24"/>
          <w:szCs w:val="24"/>
        </w:rPr>
        <w:t xml:space="preserve"> Hans Günther und Ernst </w:t>
      </w:r>
      <w:proofErr w:type="spellStart"/>
      <w:r>
        <w:rPr>
          <w:sz w:val="24"/>
          <w:szCs w:val="24"/>
        </w:rPr>
        <w:t>Ottwalt</w:t>
      </w:r>
      <w:proofErr w:type="spellEnd"/>
      <w:r w:rsidR="00CA6A52">
        <w:rPr>
          <w:sz w:val="24"/>
          <w:szCs w:val="24"/>
        </w:rPr>
        <w:t>, mit einer ihnen drohenden Verhaftung rechnen</w:t>
      </w:r>
      <w:r>
        <w:rPr>
          <w:sz w:val="24"/>
          <w:szCs w:val="24"/>
        </w:rPr>
        <w:t xml:space="preserve">. </w:t>
      </w:r>
      <w:r w:rsidR="001F5B32">
        <w:rPr>
          <w:sz w:val="24"/>
          <w:szCs w:val="24"/>
        </w:rPr>
        <w:t>Der Ausgangspunkt</w:t>
      </w:r>
      <w:r>
        <w:rPr>
          <w:sz w:val="24"/>
          <w:szCs w:val="24"/>
        </w:rPr>
        <w:t xml:space="preserve"> der </w:t>
      </w:r>
      <w:r w:rsidR="000072B5">
        <w:rPr>
          <w:sz w:val="24"/>
          <w:szCs w:val="24"/>
        </w:rPr>
        <w:t xml:space="preserve">gegen sie gerichteten </w:t>
      </w:r>
      <w:r w:rsidR="00824B00">
        <w:rPr>
          <w:sz w:val="24"/>
          <w:szCs w:val="24"/>
        </w:rPr>
        <w:t>Beschuldigu</w:t>
      </w:r>
      <w:r w:rsidR="001F5B32">
        <w:rPr>
          <w:sz w:val="24"/>
          <w:szCs w:val="24"/>
        </w:rPr>
        <w:t>ng</w:t>
      </w:r>
      <w:r w:rsidR="00824B00">
        <w:rPr>
          <w:sz w:val="24"/>
          <w:szCs w:val="24"/>
        </w:rPr>
        <w:t>en</w:t>
      </w:r>
      <w:r w:rsidR="000072B5">
        <w:rPr>
          <w:sz w:val="24"/>
          <w:szCs w:val="24"/>
        </w:rPr>
        <w:t xml:space="preserve"> </w:t>
      </w:r>
      <w:r>
        <w:rPr>
          <w:sz w:val="24"/>
          <w:szCs w:val="24"/>
        </w:rPr>
        <w:t xml:space="preserve">ist der „Fall </w:t>
      </w:r>
      <w:proofErr w:type="spellStart"/>
      <w:r>
        <w:rPr>
          <w:sz w:val="24"/>
          <w:szCs w:val="24"/>
        </w:rPr>
        <w:t>Schmückle</w:t>
      </w:r>
      <w:proofErr w:type="spellEnd"/>
      <w:r>
        <w:rPr>
          <w:sz w:val="24"/>
          <w:szCs w:val="24"/>
        </w:rPr>
        <w:t>“.</w:t>
      </w:r>
      <w:r w:rsidR="00514CD2">
        <w:rPr>
          <w:rStyle w:val="Funotenzeichen"/>
          <w:sz w:val="24"/>
          <w:szCs w:val="24"/>
        </w:rPr>
        <w:footnoteReference w:id="21"/>
      </w:r>
      <w:r>
        <w:rPr>
          <w:sz w:val="24"/>
          <w:szCs w:val="24"/>
        </w:rPr>
        <w:t xml:space="preserve"> </w:t>
      </w:r>
      <w:r w:rsidR="000072B5">
        <w:rPr>
          <w:sz w:val="24"/>
          <w:szCs w:val="24"/>
        </w:rPr>
        <w:t xml:space="preserve">Karl </w:t>
      </w:r>
      <w:proofErr w:type="spellStart"/>
      <w:r>
        <w:rPr>
          <w:sz w:val="24"/>
          <w:szCs w:val="24"/>
        </w:rPr>
        <w:t>Schmückle</w:t>
      </w:r>
      <w:proofErr w:type="spellEnd"/>
      <w:r>
        <w:rPr>
          <w:sz w:val="24"/>
          <w:szCs w:val="24"/>
        </w:rPr>
        <w:t xml:space="preserve"> und einige andere – </w:t>
      </w:r>
      <w:r w:rsidR="000072B5">
        <w:rPr>
          <w:sz w:val="24"/>
          <w:szCs w:val="24"/>
        </w:rPr>
        <w:t xml:space="preserve">Heinrich </w:t>
      </w:r>
      <w:proofErr w:type="spellStart"/>
      <w:r>
        <w:rPr>
          <w:sz w:val="24"/>
          <w:szCs w:val="24"/>
        </w:rPr>
        <w:t>Süßkind</w:t>
      </w:r>
      <w:proofErr w:type="spellEnd"/>
      <w:r>
        <w:rPr>
          <w:sz w:val="24"/>
          <w:szCs w:val="24"/>
        </w:rPr>
        <w:t xml:space="preserve">, </w:t>
      </w:r>
      <w:r w:rsidR="000072B5">
        <w:rPr>
          <w:sz w:val="24"/>
          <w:szCs w:val="24"/>
        </w:rPr>
        <w:t xml:space="preserve">David </w:t>
      </w:r>
      <w:r>
        <w:rPr>
          <w:sz w:val="24"/>
          <w:szCs w:val="24"/>
        </w:rPr>
        <w:t xml:space="preserve">Schellenberg, </w:t>
      </w:r>
      <w:r w:rsidR="000072B5">
        <w:rPr>
          <w:sz w:val="24"/>
          <w:szCs w:val="24"/>
        </w:rPr>
        <w:t xml:space="preserve">Gustav </w:t>
      </w:r>
      <w:r>
        <w:rPr>
          <w:sz w:val="24"/>
          <w:szCs w:val="24"/>
        </w:rPr>
        <w:t xml:space="preserve">Brand, </w:t>
      </w:r>
      <w:r w:rsidR="000072B5">
        <w:rPr>
          <w:sz w:val="24"/>
          <w:szCs w:val="24"/>
        </w:rPr>
        <w:t xml:space="preserve">Raoul </w:t>
      </w:r>
      <w:r>
        <w:rPr>
          <w:sz w:val="24"/>
          <w:szCs w:val="24"/>
        </w:rPr>
        <w:t xml:space="preserve">Laszlo, </w:t>
      </w:r>
      <w:r w:rsidR="000072B5">
        <w:rPr>
          <w:sz w:val="24"/>
          <w:szCs w:val="24"/>
        </w:rPr>
        <w:t xml:space="preserve">Abraham </w:t>
      </w:r>
      <w:proofErr w:type="spellStart"/>
      <w:r>
        <w:rPr>
          <w:sz w:val="24"/>
          <w:szCs w:val="24"/>
        </w:rPr>
        <w:t>Brustawitzki</w:t>
      </w:r>
      <w:proofErr w:type="spellEnd"/>
      <w:r>
        <w:rPr>
          <w:sz w:val="24"/>
          <w:szCs w:val="24"/>
        </w:rPr>
        <w:t xml:space="preserve"> – waren wenigen Wochen zuvor </w:t>
      </w:r>
      <w:r w:rsidR="00CA6A52">
        <w:rPr>
          <w:sz w:val="24"/>
          <w:szCs w:val="24"/>
        </w:rPr>
        <w:t>vo</w:t>
      </w:r>
      <w:r>
        <w:rPr>
          <w:sz w:val="24"/>
          <w:szCs w:val="24"/>
        </w:rPr>
        <w:t xml:space="preserve">n der in Moskau erscheinenden </w:t>
      </w:r>
      <w:r>
        <w:rPr>
          <w:i/>
          <w:sz w:val="24"/>
          <w:szCs w:val="24"/>
        </w:rPr>
        <w:t>Deutschen Zentral-Zeitung</w:t>
      </w:r>
      <w:r>
        <w:rPr>
          <w:sz w:val="24"/>
          <w:szCs w:val="24"/>
        </w:rPr>
        <w:t xml:space="preserve"> bzw. </w:t>
      </w:r>
      <w:r w:rsidR="00CA6A52">
        <w:rPr>
          <w:sz w:val="24"/>
          <w:szCs w:val="24"/>
        </w:rPr>
        <w:t>vo</w:t>
      </w:r>
      <w:r>
        <w:rPr>
          <w:sz w:val="24"/>
          <w:szCs w:val="24"/>
        </w:rPr>
        <w:t xml:space="preserve">n der </w:t>
      </w:r>
      <w:proofErr w:type="spellStart"/>
      <w:r>
        <w:rPr>
          <w:i/>
          <w:sz w:val="24"/>
          <w:szCs w:val="24"/>
        </w:rPr>
        <w:t>Literaturnaja</w:t>
      </w:r>
      <w:proofErr w:type="spellEnd"/>
      <w:r>
        <w:rPr>
          <w:i/>
          <w:sz w:val="24"/>
          <w:szCs w:val="24"/>
        </w:rPr>
        <w:t xml:space="preserve"> </w:t>
      </w:r>
      <w:proofErr w:type="spellStart"/>
      <w:r>
        <w:rPr>
          <w:i/>
          <w:sz w:val="24"/>
          <w:szCs w:val="24"/>
        </w:rPr>
        <w:t>Gazeta</w:t>
      </w:r>
      <w:proofErr w:type="spellEnd"/>
      <w:r w:rsidR="00D03A59">
        <w:rPr>
          <w:rStyle w:val="Funotenzeichen"/>
          <w:i/>
          <w:sz w:val="24"/>
          <w:szCs w:val="24"/>
        </w:rPr>
        <w:footnoteReference w:id="22"/>
      </w:r>
      <w:r>
        <w:rPr>
          <w:sz w:val="24"/>
          <w:szCs w:val="24"/>
        </w:rPr>
        <w:t xml:space="preserve"> als „Parteifeinde“ angegriffen </w:t>
      </w:r>
      <w:r w:rsidR="00D03A59">
        <w:rPr>
          <w:sz w:val="24"/>
          <w:szCs w:val="24"/>
        </w:rPr>
        <w:t>und</w:t>
      </w:r>
      <w:r>
        <w:rPr>
          <w:sz w:val="24"/>
          <w:szCs w:val="24"/>
        </w:rPr>
        <w:t xml:space="preserve"> „parteifeindlicher Han</w:t>
      </w:r>
      <w:r>
        <w:rPr>
          <w:sz w:val="24"/>
          <w:szCs w:val="24"/>
        </w:rPr>
        <w:t>d</w:t>
      </w:r>
      <w:r>
        <w:rPr>
          <w:sz w:val="24"/>
          <w:szCs w:val="24"/>
        </w:rPr>
        <w:t>lungen“ beschuldigt worden. Damit war das Urteil gefallen.</w:t>
      </w:r>
      <w:r w:rsidR="00304877">
        <w:rPr>
          <w:rStyle w:val="Funotenzeichen"/>
          <w:sz w:val="24"/>
          <w:szCs w:val="24"/>
        </w:rPr>
        <w:footnoteReference w:id="23"/>
      </w:r>
      <w:r>
        <w:rPr>
          <w:sz w:val="24"/>
          <w:szCs w:val="24"/>
        </w:rPr>
        <w:t xml:space="preserve"> Es bedurfte nicht erst eines </w:t>
      </w:r>
      <w:r w:rsidR="00D03A59">
        <w:rPr>
          <w:sz w:val="24"/>
          <w:szCs w:val="24"/>
        </w:rPr>
        <w:lastRenderedPageBreak/>
        <w:t xml:space="preserve">förmlichen </w:t>
      </w:r>
      <w:r>
        <w:rPr>
          <w:sz w:val="24"/>
          <w:szCs w:val="24"/>
        </w:rPr>
        <w:t>Prozesses, geschweige denn einer argumentativen Überführung, um zu klären, dass es sich bei den Angegriffenen um „Parteifeinde“ handelte</w:t>
      </w:r>
      <w:r w:rsidR="00B50A84">
        <w:rPr>
          <w:sz w:val="24"/>
          <w:szCs w:val="24"/>
        </w:rPr>
        <w:t>.</w:t>
      </w:r>
    </w:p>
    <w:p w:rsidR="0000192B" w:rsidRDefault="0000192B" w:rsidP="00A046FA">
      <w:pPr>
        <w:spacing w:after="0"/>
        <w:jc w:val="both"/>
        <w:rPr>
          <w:sz w:val="24"/>
          <w:szCs w:val="24"/>
        </w:rPr>
      </w:pPr>
      <w:r>
        <w:rPr>
          <w:sz w:val="24"/>
          <w:szCs w:val="24"/>
        </w:rPr>
        <w:tab/>
      </w:r>
      <w:r w:rsidR="000072B5">
        <w:rPr>
          <w:sz w:val="24"/>
          <w:szCs w:val="24"/>
        </w:rPr>
        <w:t>D</w:t>
      </w:r>
      <w:r w:rsidR="006028C6">
        <w:rPr>
          <w:sz w:val="24"/>
          <w:szCs w:val="24"/>
        </w:rPr>
        <w:t xml:space="preserve">iese Verstrickung </w:t>
      </w:r>
      <w:r w:rsidR="000072B5">
        <w:rPr>
          <w:sz w:val="24"/>
          <w:szCs w:val="24"/>
        </w:rPr>
        <w:t xml:space="preserve">in das </w:t>
      </w:r>
      <w:r w:rsidR="006028C6">
        <w:rPr>
          <w:sz w:val="24"/>
          <w:szCs w:val="24"/>
        </w:rPr>
        <w:t>Schicksal enger Freunde</w:t>
      </w:r>
      <w:r>
        <w:rPr>
          <w:sz w:val="24"/>
          <w:szCs w:val="24"/>
        </w:rPr>
        <w:t xml:space="preserve"> </w:t>
      </w:r>
      <w:r w:rsidR="006028C6">
        <w:rPr>
          <w:sz w:val="24"/>
          <w:szCs w:val="24"/>
        </w:rPr>
        <w:t>und langjähriger politischer G</w:t>
      </w:r>
      <w:r w:rsidR="006028C6">
        <w:rPr>
          <w:sz w:val="24"/>
          <w:szCs w:val="24"/>
        </w:rPr>
        <w:t>e</w:t>
      </w:r>
      <w:r w:rsidR="006028C6">
        <w:rPr>
          <w:sz w:val="24"/>
          <w:szCs w:val="24"/>
        </w:rPr>
        <w:t xml:space="preserve">fährten </w:t>
      </w:r>
      <w:r w:rsidR="000072B5">
        <w:rPr>
          <w:sz w:val="24"/>
          <w:szCs w:val="24"/>
        </w:rPr>
        <w:t>ist ein weiterer Grund</w:t>
      </w:r>
      <w:r>
        <w:rPr>
          <w:sz w:val="24"/>
          <w:szCs w:val="24"/>
        </w:rPr>
        <w:t xml:space="preserve">, dass außer Regler </w:t>
      </w:r>
      <w:r w:rsidR="006028C6">
        <w:rPr>
          <w:sz w:val="24"/>
          <w:szCs w:val="24"/>
        </w:rPr>
        <w:t xml:space="preserve">später </w:t>
      </w:r>
      <w:r>
        <w:rPr>
          <w:sz w:val="24"/>
          <w:szCs w:val="24"/>
        </w:rPr>
        <w:t xml:space="preserve">niemand diese Versammlung </w:t>
      </w:r>
      <w:r w:rsidR="000072B5">
        <w:rPr>
          <w:sz w:val="24"/>
          <w:szCs w:val="24"/>
        </w:rPr>
        <w:t>auch nur</w:t>
      </w:r>
      <w:r>
        <w:rPr>
          <w:sz w:val="24"/>
          <w:szCs w:val="24"/>
        </w:rPr>
        <w:t xml:space="preserve"> erwähnt</w:t>
      </w:r>
      <w:r w:rsidR="006028C6">
        <w:rPr>
          <w:sz w:val="24"/>
          <w:szCs w:val="24"/>
        </w:rPr>
        <w:t xml:space="preserve"> hat</w:t>
      </w:r>
      <w:r>
        <w:rPr>
          <w:sz w:val="24"/>
          <w:szCs w:val="24"/>
        </w:rPr>
        <w:t xml:space="preserve">. Sie alle hätten </w:t>
      </w:r>
      <w:r w:rsidR="006028C6">
        <w:rPr>
          <w:sz w:val="24"/>
          <w:szCs w:val="24"/>
        </w:rPr>
        <w:t>diesem Fall</w:t>
      </w:r>
      <w:r>
        <w:rPr>
          <w:sz w:val="24"/>
          <w:szCs w:val="24"/>
        </w:rPr>
        <w:t xml:space="preserve"> auch die Erbärmlichkeit ihres eigenen Verhaltens, </w:t>
      </w:r>
      <w:r w:rsidR="000072B5">
        <w:rPr>
          <w:sz w:val="24"/>
          <w:szCs w:val="24"/>
        </w:rPr>
        <w:t>di</w:t>
      </w:r>
      <w:r>
        <w:rPr>
          <w:sz w:val="24"/>
          <w:szCs w:val="24"/>
        </w:rPr>
        <w:t xml:space="preserve">e Mitschuld am Tod </w:t>
      </w:r>
      <w:r w:rsidR="000072B5">
        <w:rPr>
          <w:sz w:val="24"/>
          <w:szCs w:val="24"/>
        </w:rPr>
        <w:t>ihrer</w:t>
      </w:r>
      <w:r>
        <w:rPr>
          <w:sz w:val="24"/>
          <w:szCs w:val="24"/>
        </w:rPr>
        <w:t xml:space="preserve"> Freunde, eingestehen müssen. Sie hätten mit der Erinnerung an diese Versammlung das historische Recht der Partei auf absoluten, blinden Gehorsam in Frage ste</w:t>
      </w:r>
      <w:r>
        <w:rPr>
          <w:sz w:val="24"/>
          <w:szCs w:val="24"/>
        </w:rPr>
        <w:t>l</w:t>
      </w:r>
      <w:r>
        <w:rPr>
          <w:sz w:val="24"/>
          <w:szCs w:val="24"/>
        </w:rPr>
        <w:t xml:space="preserve">len müssen, denn die Versammlung zeigt mit erschreckender Deutlichkeit, dass </w:t>
      </w:r>
      <w:r w:rsidRPr="003C7119">
        <w:rPr>
          <w:i/>
          <w:sz w:val="24"/>
          <w:szCs w:val="24"/>
        </w:rPr>
        <w:t xml:space="preserve">alle </w:t>
      </w:r>
      <w:r>
        <w:rPr>
          <w:sz w:val="24"/>
          <w:szCs w:val="24"/>
        </w:rPr>
        <w:t>Anw</w:t>
      </w:r>
      <w:r>
        <w:rPr>
          <w:sz w:val="24"/>
          <w:szCs w:val="24"/>
        </w:rPr>
        <w:t>e</w:t>
      </w:r>
      <w:r>
        <w:rPr>
          <w:sz w:val="24"/>
          <w:szCs w:val="24"/>
        </w:rPr>
        <w:t xml:space="preserve">senden davon ausgehen, dass </w:t>
      </w:r>
      <w:r w:rsidRPr="006028C6">
        <w:rPr>
          <w:i/>
          <w:sz w:val="24"/>
          <w:szCs w:val="24"/>
        </w:rPr>
        <w:t xml:space="preserve">nur der </w:t>
      </w:r>
      <w:r w:rsidR="006028C6" w:rsidRPr="006028C6">
        <w:rPr>
          <w:i/>
          <w:sz w:val="24"/>
          <w:szCs w:val="24"/>
        </w:rPr>
        <w:t>E</w:t>
      </w:r>
      <w:r w:rsidRPr="006028C6">
        <w:rPr>
          <w:i/>
          <w:sz w:val="24"/>
          <w:szCs w:val="24"/>
        </w:rPr>
        <w:t>inzelne</w:t>
      </w:r>
      <w:r>
        <w:rPr>
          <w:sz w:val="24"/>
          <w:szCs w:val="24"/>
        </w:rPr>
        <w:t xml:space="preserve"> – niemals jedoch die Partei – irren kann. </w:t>
      </w:r>
      <w:r w:rsidR="00AC36F9">
        <w:rPr>
          <w:sz w:val="24"/>
          <w:szCs w:val="24"/>
        </w:rPr>
        <w:t xml:space="preserve">Wer auch nur einmal </w:t>
      </w:r>
      <w:r w:rsidR="000072B5">
        <w:rPr>
          <w:sz w:val="24"/>
          <w:szCs w:val="24"/>
        </w:rPr>
        <w:t>von der Parteilinie abweicht oder mit „Abweichlern“ zusammenarbeitet</w:t>
      </w:r>
      <w:r w:rsidR="00AC36F9">
        <w:rPr>
          <w:sz w:val="24"/>
          <w:szCs w:val="24"/>
        </w:rPr>
        <w:t>, zeigt</w:t>
      </w:r>
      <w:r w:rsidR="000072B5">
        <w:rPr>
          <w:sz w:val="24"/>
          <w:szCs w:val="24"/>
        </w:rPr>
        <w:t xml:space="preserve"> damit</w:t>
      </w:r>
      <w:r w:rsidR="00AC36F9">
        <w:rPr>
          <w:sz w:val="24"/>
          <w:szCs w:val="24"/>
        </w:rPr>
        <w:t xml:space="preserve">, dass er kein „Bolschewist“ und auf ihn politisch kein Verlass ist. </w:t>
      </w:r>
      <w:r w:rsidR="006028C6">
        <w:rPr>
          <w:sz w:val="24"/>
          <w:szCs w:val="24"/>
        </w:rPr>
        <w:t xml:space="preserve">Georg </w:t>
      </w:r>
      <w:r>
        <w:rPr>
          <w:sz w:val="24"/>
          <w:szCs w:val="24"/>
        </w:rPr>
        <w:t xml:space="preserve">Lukács z.B. </w:t>
      </w:r>
      <w:r w:rsidR="00AC36F9">
        <w:rPr>
          <w:sz w:val="24"/>
          <w:szCs w:val="24"/>
        </w:rPr>
        <w:t xml:space="preserve">klagt aus diesem Grund mit unerbittlicher Strenge Hans Günther des </w:t>
      </w:r>
      <w:r>
        <w:rPr>
          <w:sz w:val="24"/>
          <w:szCs w:val="24"/>
        </w:rPr>
        <w:t>Defätismus</w:t>
      </w:r>
      <w:r w:rsidR="00AC36F9">
        <w:rPr>
          <w:sz w:val="24"/>
          <w:szCs w:val="24"/>
        </w:rPr>
        <w:t xml:space="preserve"> und der politischen Gegnerschaft zur Partei an</w:t>
      </w:r>
      <w:r>
        <w:rPr>
          <w:sz w:val="24"/>
          <w:szCs w:val="24"/>
        </w:rPr>
        <w:t>: „Ich habe Günther damals gesagt, wenn er diese Stimmungen politisch durchdenkt und zur politischen Plattform erhebt, wird er unfehlbar bei irgendeiner parteifeindlichen Gruppierung landen.“</w:t>
      </w:r>
      <w:r w:rsidR="002F1413">
        <w:rPr>
          <w:rStyle w:val="Funotenzeichen"/>
          <w:sz w:val="24"/>
          <w:szCs w:val="24"/>
        </w:rPr>
        <w:footnoteReference w:id="24"/>
      </w:r>
      <w:r>
        <w:rPr>
          <w:sz w:val="24"/>
          <w:szCs w:val="24"/>
        </w:rPr>
        <w:t xml:space="preserve"> </w:t>
      </w:r>
      <w:r w:rsidR="000072B5">
        <w:rPr>
          <w:sz w:val="24"/>
          <w:szCs w:val="24"/>
        </w:rPr>
        <w:t>D</w:t>
      </w:r>
      <w:r>
        <w:rPr>
          <w:sz w:val="24"/>
          <w:szCs w:val="24"/>
        </w:rPr>
        <w:t xml:space="preserve">amit </w:t>
      </w:r>
      <w:r w:rsidR="000072B5">
        <w:rPr>
          <w:sz w:val="24"/>
          <w:szCs w:val="24"/>
        </w:rPr>
        <w:t>steht – unüberhörbar – d</w:t>
      </w:r>
      <w:r>
        <w:rPr>
          <w:sz w:val="24"/>
          <w:szCs w:val="24"/>
        </w:rPr>
        <w:t xml:space="preserve">ie Frage in den Raum, ob Günther nicht </w:t>
      </w:r>
      <w:r w:rsidR="00AE6BDE">
        <w:rPr>
          <w:sz w:val="24"/>
          <w:szCs w:val="24"/>
        </w:rPr>
        <w:t>bereits jetzt</w:t>
      </w:r>
      <w:r>
        <w:rPr>
          <w:sz w:val="24"/>
          <w:szCs w:val="24"/>
        </w:rPr>
        <w:t xml:space="preserve"> bei einer „parteifeindlichen Gruppierung“ gela</w:t>
      </w:r>
      <w:r>
        <w:rPr>
          <w:sz w:val="24"/>
          <w:szCs w:val="24"/>
        </w:rPr>
        <w:t>n</w:t>
      </w:r>
      <w:r>
        <w:rPr>
          <w:sz w:val="24"/>
          <w:szCs w:val="24"/>
        </w:rPr>
        <w:t>det ist</w:t>
      </w:r>
      <w:r w:rsidR="00AE6BDE">
        <w:rPr>
          <w:sz w:val="24"/>
          <w:szCs w:val="24"/>
        </w:rPr>
        <w:t>, also in Wirklichkeit nicht ein Saboteur und Verräter ist</w:t>
      </w:r>
      <w:r>
        <w:rPr>
          <w:sz w:val="24"/>
          <w:szCs w:val="24"/>
        </w:rPr>
        <w:t>.</w:t>
      </w:r>
      <w:r w:rsidR="00EA13D2">
        <w:rPr>
          <w:sz w:val="24"/>
          <w:szCs w:val="24"/>
        </w:rPr>
        <w:t xml:space="preserve"> Aus ehemaligen Freunden werden </w:t>
      </w:r>
      <w:r w:rsidR="00AE6BDE">
        <w:rPr>
          <w:sz w:val="24"/>
          <w:szCs w:val="24"/>
        </w:rPr>
        <w:t xml:space="preserve">auf diese Weise </w:t>
      </w:r>
      <w:r w:rsidR="00EA13D2">
        <w:rPr>
          <w:sz w:val="24"/>
          <w:szCs w:val="24"/>
        </w:rPr>
        <w:t>unerbittliche Gegner, die sich wechselseitig ans Messer liefern.</w:t>
      </w:r>
    </w:p>
    <w:p w:rsidR="007C1752" w:rsidRPr="002B00CC" w:rsidRDefault="007C1752" w:rsidP="00A046FA">
      <w:pPr>
        <w:spacing w:after="0"/>
        <w:jc w:val="both"/>
        <w:rPr>
          <w:sz w:val="24"/>
          <w:szCs w:val="24"/>
        </w:rPr>
      </w:pPr>
      <w:r>
        <w:rPr>
          <w:sz w:val="24"/>
          <w:szCs w:val="24"/>
        </w:rPr>
        <w:tab/>
        <w:t>Die „Säuberungen“ hatten, so zeigt das Protokoll, den Charakter von Willkür. Aber ein pervertierter Kern von ‚Rationalität‘ ist ebenfalls erkennbar, und erst diese</w:t>
      </w:r>
      <w:r w:rsidR="002B2ED9">
        <w:rPr>
          <w:sz w:val="24"/>
          <w:szCs w:val="24"/>
        </w:rPr>
        <w:t>r</w:t>
      </w:r>
      <w:r>
        <w:rPr>
          <w:sz w:val="24"/>
          <w:szCs w:val="24"/>
        </w:rPr>
        <w:t xml:space="preserve"> </w:t>
      </w:r>
      <w:r w:rsidR="002B2ED9">
        <w:rPr>
          <w:sz w:val="24"/>
          <w:szCs w:val="24"/>
        </w:rPr>
        <w:t>rationale Kern</w:t>
      </w:r>
      <w:r>
        <w:rPr>
          <w:sz w:val="24"/>
          <w:szCs w:val="24"/>
        </w:rPr>
        <w:t xml:space="preserve"> macht das Zusammenspiel von Opfern und Tätern möglich. Hier ist zu beachten, dass der Vollzug der „Säuberungen“ anscheinend </w:t>
      </w:r>
      <w:r w:rsidRPr="007C1752">
        <w:rPr>
          <w:i/>
          <w:sz w:val="24"/>
          <w:szCs w:val="24"/>
        </w:rPr>
        <w:t xml:space="preserve">nicht </w:t>
      </w:r>
      <w:r w:rsidRPr="002B2ED9">
        <w:rPr>
          <w:i/>
          <w:sz w:val="24"/>
          <w:szCs w:val="24"/>
        </w:rPr>
        <w:t>ausschließlich</w:t>
      </w:r>
      <w:r>
        <w:rPr>
          <w:sz w:val="24"/>
          <w:szCs w:val="24"/>
        </w:rPr>
        <w:t xml:space="preserve"> in den Händen der sowjetischen Organe lag, sondern dass Institutionen der KPD: die Kaderabteilung und verschiedene andere Parteiinstanzen, </w:t>
      </w:r>
      <w:r>
        <w:rPr>
          <w:i/>
          <w:sz w:val="24"/>
          <w:szCs w:val="24"/>
        </w:rPr>
        <w:t>mi</w:t>
      </w:r>
      <w:r w:rsidRPr="002B2ED9">
        <w:rPr>
          <w:i/>
          <w:sz w:val="24"/>
          <w:szCs w:val="24"/>
        </w:rPr>
        <w:t xml:space="preserve">tbeteiligt </w:t>
      </w:r>
      <w:r>
        <w:rPr>
          <w:sz w:val="24"/>
          <w:szCs w:val="24"/>
        </w:rPr>
        <w:t xml:space="preserve">waren: bei der Sammlung belastenden Materials, vor allem aber bei der </w:t>
      </w:r>
      <w:r>
        <w:rPr>
          <w:i/>
          <w:sz w:val="24"/>
          <w:szCs w:val="24"/>
        </w:rPr>
        <w:t>politischen Sanktionierung</w:t>
      </w:r>
      <w:r>
        <w:rPr>
          <w:sz w:val="24"/>
          <w:szCs w:val="24"/>
        </w:rPr>
        <w:t xml:space="preserve"> des Vorgangs durch die formale Parallelisierung von U</w:t>
      </w:r>
      <w:r>
        <w:rPr>
          <w:sz w:val="24"/>
          <w:szCs w:val="24"/>
        </w:rPr>
        <w:t>n</w:t>
      </w:r>
      <w:r>
        <w:rPr>
          <w:sz w:val="24"/>
          <w:szCs w:val="24"/>
        </w:rPr>
        <w:t xml:space="preserve">tersuchungs- und Parteiausschlussverfahren. </w:t>
      </w:r>
      <w:r w:rsidR="00AE6BDE">
        <w:rPr>
          <w:sz w:val="24"/>
          <w:szCs w:val="24"/>
        </w:rPr>
        <w:t>Das hieß konkret: Vor der Verhaftung musste der „Verräter“ zuerst einmal aus der Partei ausgeschlossen werden. – D</w:t>
      </w:r>
      <w:r>
        <w:rPr>
          <w:sz w:val="24"/>
          <w:szCs w:val="24"/>
        </w:rPr>
        <w:t xml:space="preserve">ie Mitwirkung </w:t>
      </w:r>
      <w:r w:rsidR="00AE6BDE">
        <w:rPr>
          <w:sz w:val="24"/>
          <w:szCs w:val="24"/>
        </w:rPr>
        <w:t>der KPD erstreckte sich</w:t>
      </w:r>
      <w:r>
        <w:rPr>
          <w:sz w:val="24"/>
          <w:szCs w:val="24"/>
        </w:rPr>
        <w:t xml:space="preserve"> auch </w:t>
      </w:r>
      <w:r w:rsidR="00AE6BDE">
        <w:rPr>
          <w:sz w:val="24"/>
          <w:szCs w:val="24"/>
        </w:rPr>
        <w:t xml:space="preserve">auf </w:t>
      </w:r>
      <w:r>
        <w:rPr>
          <w:sz w:val="24"/>
          <w:szCs w:val="24"/>
        </w:rPr>
        <w:t xml:space="preserve">die ideologische Rechtfertigung des Vorgangs. Es </w:t>
      </w:r>
      <w:r w:rsidR="00AE6BDE">
        <w:rPr>
          <w:sz w:val="24"/>
          <w:szCs w:val="24"/>
        </w:rPr>
        <w:t>handelte sich</w:t>
      </w:r>
      <w:r>
        <w:rPr>
          <w:sz w:val="24"/>
          <w:szCs w:val="24"/>
        </w:rPr>
        <w:t xml:space="preserve"> fo</w:t>
      </w:r>
      <w:r>
        <w:rPr>
          <w:sz w:val="24"/>
          <w:szCs w:val="24"/>
        </w:rPr>
        <w:t>r</w:t>
      </w:r>
      <w:r>
        <w:rPr>
          <w:sz w:val="24"/>
          <w:szCs w:val="24"/>
        </w:rPr>
        <w:t>mal</w:t>
      </w:r>
      <w:r w:rsidR="00AE6BDE">
        <w:rPr>
          <w:sz w:val="24"/>
          <w:szCs w:val="24"/>
        </w:rPr>
        <w:t xml:space="preserve"> nicht um eine Untersuchung konspirativer, vom Ausland gesteuerter Umtriebe</w:t>
      </w:r>
      <w:r w:rsidR="00D92365">
        <w:rPr>
          <w:sz w:val="24"/>
          <w:szCs w:val="24"/>
        </w:rPr>
        <w:t xml:space="preserve"> – das wäre vielmehr eine Sache der „Organe“, der Verfolgungsinstanzen, gewesen –, s</w:t>
      </w:r>
      <w:r w:rsidR="00AE6BDE">
        <w:rPr>
          <w:sz w:val="24"/>
          <w:szCs w:val="24"/>
        </w:rPr>
        <w:t>ondern um</w:t>
      </w:r>
      <w:r>
        <w:rPr>
          <w:sz w:val="24"/>
          <w:szCs w:val="24"/>
        </w:rPr>
        <w:t xml:space="preserve"> eine „Parteireinigung“,</w:t>
      </w:r>
      <w:r w:rsidR="00AE6BDE">
        <w:rPr>
          <w:sz w:val="24"/>
          <w:szCs w:val="24"/>
        </w:rPr>
        <w:t xml:space="preserve"> also um einen </w:t>
      </w:r>
      <w:r w:rsidR="002B00CC" w:rsidRPr="00D92365">
        <w:rPr>
          <w:i/>
          <w:sz w:val="24"/>
          <w:szCs w:val="24"/>
        </w:rPr>
        <w:t>satzungsgemäßen</w:t>
      </w:r>
      <w:r w:rsidR="002B00CC">
        <w:rPr>
          <w:sz w:val="24"/>
          <w:szCs w:val="24"/>
        </w:rPr>
        <w:t xml:space="preserve">, </w:t>
      </w:r>
      <w:r w:rsidR="00D92365">
        <w:rPr>
          <w:sz w:val="24"/>
          <w:szCs w:val="24"/>
        </w:rPr>
        <w:t>gemäß der</w:t>
      </w:r>
      <w:r w:rsidR="00AE6BDE">
        <w:rPr>
          <w:sz w:val="24"/>
          <w:szCs w:val="24"/>
        </w:rPr>
        <w:t xml:space="preserve"> </w:t>
      </w:r>
      <w:r w:rsidR="00D92365">
        <w:rPr>
          <w:sz w:val="24"/>
          <w:szCs w:val="24"/>
        </w:rPr>
        <w:t>Parteis</w:t>
      </w:r>
      <w:r w:rsidR="00AE6BDE">
        <w:rPr>
          <w:sz w:val="24"/>
          <w:szCs w:val="24"/>
        </w:rPr>
        <w:t xml:space="preserve">tatute </w:t>
      </w:r>
      <w:r w:rsidR="00D92365">
        <w:rPr>
          <w:sz w:val="24"/>
          <w:szCs w:val="24"/>
        </w:rPr>
        <w:t xml:space="preserve">erforderlichen </w:t>
      </w:r>
      <w:r w:rsidR="00AE6BDE">
        <w:rPr>
          <w:sz w:val="24"/>
          <w:szCs w:val="24"/>
        </w:rPr>
        <w:t>Vorgang</w:t>
      </w:r>
      <w:r w:rsidR="002B00CC">
        <w:rPr>
          <w:sz w:val="24"/>
          <w:szCs w:val="24"/>
        </w:rPr>
        <w:t>:</w:t>
      </w:r>
      <w:r w:rsidR="00AE6BDE">
        <w:rPr>
          <w:sz w:val="24"/>
          <w:szCs w:val="24"/>
        </w:rPr>
        <w:t xml:space="preserve"> </w:t>
      </w:r>
      <w:r w:rsidR="002B00CC">
        <w:rPr>
          <w:sz w:val="24"/>
          <w:szCs w:val="24"/>
        </w:rPr>
        <w:t>in diesem Fall um die Überprüfung der Mitglieder im Zuge ihrer Übernahme in</w:t>
      </w:r>
      <w:r>
        <w:rPr>
          <w:sz w:val="24"/>
          <w:szCs w:val="24"/>
        </w:rPr>
        <w:t xml:space="preserve"> die sowjetische KP.</w:t>
      </w:r>
      <w:r w:rsidR="008A7527">
        <w:rPr>
          <w:sz w:val="24"/>
          <w:szCs w:val="24"/>
        </w:rPr>
        <w:t xml:space="preserve"> In diesem Sinne war das Protokoll </w:t>
      </w:r>
      <w:r w:rsidR="002B00CC">
        <w:rPr>
          <w:sz w:val="24"/>
          <w:szCs w:val="24"/>
        </w:rPr>
        <w:t xml:space="preserve">im eigentlichen Sinne </w:t>
      </w:r>
      <w:r w:rsidR="00D92365">
        <w:rPr>
          <w:sz w:val="24"/>
          <w:szCs w:val="24"/>
        </w:rPr>
        <w:t xml:space="preserve">auch </w:t>
      </w:r>
      <w:r w:rsidR="002B00CC">
        <w:rPr>
          <w:sz w:val="24"/>
          <w:szCs w:val="24"/>
        </w:rPr>
        <w:t>k</w:t>
      </w:r>
      <w:r w:rsidR="008A7527">
        <w:rPr>
          <w:sz w:val="24"/>
          <w:szCs w:val="24"/>
        </w:rPr>
        <w:t xml:space="preserve">ein </w:t>
      </w:r>
      <w:r w:rsidR="00D92365">
        <w:rPr>
          <w:sz w:val="24"/>
          <w:szCs w:val="24"/>
        </w:rPr>
        <w:t>Bestan</w:t>
      </w:r>
      <w:r w:rsidR="00D92365">
        <w:rPr>
          <w:sz w:val="24"/>
          <w:szCs w:val="24"/>
        </w:rPr>
        <w:t>d</w:t>
      </w:r>
      <w:r w:rsidR="00D92365">
        <w:rPr>
          <w:sz w:val="24"/>
          <w:szCs w:val="24"/>
        </w:rPr>
        <w:t>teil des potentiellen Untersuchungs- bzw. Anklageverfahrens</w:t>
      </w:r>
      <w:r w:rsidR="008A7527">
        <w:rPr>
          <w:sz w:val="24"/>
          <w:szCs w:val="24"/>
        </w:rPr>
        <w:t xml:space="preserve">, sondern </w:t>
      </w:r>
      <w:r w:rsidR="00D92365">
        <w:rPr>
          <w:sz w:val="24"/>
          <w:szCs w:val="24"/>
        </w:rPr>
        <w:t xml:space="preserve">zunächst einmal </w:t>
      </w:r>
      <w:r w:rsidR="008A7527">
        <w:rPr>
          <w:sz w:val="24"/>
          <w:szCs w:val="24"/>
        </w:rPr>
        <w:t xml:space="preserve">ein </w:t>
      </w:r>
      <w:r w:rsidR="008A7527" w:rsidRPr="00D92365">
        <w:rPr>
          <w:sz w:val="24"/>
          <w:szCs w:val="24"/>
        </w:rPr>
        <w:t>Instrument der</w:t>
      </w:r>
      <w:r w:rsidR="008A7527">
        <w:rPr>
          <w:i/>
          <w:sz w:val="24"/>
          <w:szCs w:val="24"/>
        </w:rPr>
        <w:t xml:space="preserve"> parteiinternen Selbstverständigung.</w:t>
      </w:r>
      <w:r w:rsidR="002B00CC">
        <w:rPr>
          <w:sz w:val="24"/>
          <w:szCs w:val="24"/>
        </w:rPr>
        <w:t xml:space="preserve"> </w:t>
      </w:r>
    </w:p>
    <w:p w:rsidR="008A7527" w:rsidRPr="008A7527" w:rsidRDefault="008A7527" w:rsidP="00A046FA">
      <w:pPr>
        <w:spacing w:after="0"/>
        <w:jc w:val="both"/>
        <w:rPr>
          <w:sz w:val="24"/>
          <w:szCs w:val="24"/>
        </w:rPr>
      </w:pPr>
      <w:r>
        <w:rPr>
          <w:sz w:val="24"/>
          <w:szCs w:val="24"/>
        </w:rPr>
        <w:tab/>
      </w:r>
      <w:r w:rsidR="002B2ED9">
        <w:rPr>
          <w:sz w:val="24"/>
          <w:szCs w:val="24"/>
        </w:rPr>
        <w:t>Es war nicht zuletzt d</w:t>
      </w:r>
      <w:r w:rsidR="002B00CC">
        <w:rPr>
          <w:sz w:val="24"/>
          <w:szCs w:val="24"/>
        </w:rPr>
        <w:t>iese</w:t>
      </w:r>
      <w:r w:rsidR="002B2ED9">
        <w:rPr>
          <w:sz w:val="24"/>
          <w:szCs w:val="24"/>
        </w:rPr>
        <w:t xml:space="preserve">s situative Umfeld, das </w:t>
      </w:r>
      <w:r>
        <w:rPr>
          <w:sz w:val="24"/>
          <w:szCs w:val="24"/>
        </w:rPr>
        <w:t xml:space="preserve">einer klaren Trennung von „Opfern“ und „Tätern“ </w:t>
      </w:r>
      <w:r w:rsidR="002B2ED9">
        <w:rPr>
          <w:sz w:val="24"/>
          <w:szCs w:val="24"/>
        </w:rPr>
        <w:t>entgegen stand</w:t>
      </w:r>
      <w:r>
        <w:rPr>
          <w:sz w:val="24"/>
          <w:szCs w:val="24"/>
        </w:rPr>
        <w:t xml:space="preserve">. </w:t>
      </w:r>
      <w:r w:rsidR="002B2ED9">
        <w:rPr>
          <w:sz w:val="24"/>
          <w:szCs w:val="24"/>
        </w:rPr>
        <w:t>Zahlreiche</w:t>
      </w:r>
      <w:r>
        <w:rPr>
          <w:sz w:val="24"/>
          <w:szCs w:val="24"/>
        </w:rPr>
        <w:t xml:space="preserve"> Opfer verwandel</w:t>
      </w:r>
      <w:r w:rsidR="002B2ED9">
        <w:rPr>
          <w:sz w:val="24"/>
          <w:szCs w:val="24"/>
        </w:rPr>
        <w:t>ten</w:t>
      </w:r>
      <w:r>
        <w:rPr>
          <w:sz w:val="24"/>
          <w:szCs w:val="24"/>
        </w:rPr>
        <w:t xml:space="preserve"> sich </w:t>
      </w:r>
      <w:r w:rsidR="002B2ED9">
        <w:rPr>
          <w:sz w:val="24"/>
          <w:szCs w:val="24"/>
        </w:rPr>
        <w:t xml:space="preserve">erst </w:t>
      </w:r>
      <w:r>
        <w:rPr>
          <w:sz w:val="24"/>
          <w:szCs w:val="24"/>
        </w:rPr>
        <w:t xml:space="preserve">unter dem Zwang der Umstände in „Täter“. Die Grade, in denen </w:t>
      </w:r>
      <w:r w:rsidR="002B2ED9">
        <w:rPr>
          <w:sz w:val="24"/>
          <w:szCs w:val="24"/>
        </w:rPr>
        <w:t>sie</w:t>
      </w:r>
      <w:r>
        <w:rPr>
          <w:sz w:val="24"/>
          <w:szCs w:val="24"/>
        </w:rPr>
        <w:t xml:space="preserve"> andere beschuldigte</w:t>
      </w:r>
      <w:r w:rsidR="002B2ED9">
        <w:rPr>
          <w:sz w:val="24"/>
          <w:szCs w:val="24"/>
        </w:rPr>
        <w:t>n</w:t>
      </w:r>
      <w:r>
        <w:rPr>
          <w:sz w:val="24"/>
          <w:szCs w:val="24"/>
        </w:rPr>
        <w:t xml:space="preserve">, waren </w:t>
      </w:r>
      <w:r w:rsidR="002B2ED9">
        <w:rPr>
          <w:sz w:val="24"/>
          <w:szCs w:val="24"/>
        </w:rPr>
        <w:t>dabei</w:t>
      </w:r>
      <w:r>
        <w:rPr>
          <w:sz w:val="24"/>
          <w:szCs w:val="24"/>
        </w:rPr>
        <w:t xml:space="preserve"> unterschie</w:t>
      </w:r>
      <w:r>
        <w:rPr>
          <w:sz w:val="24"/>
          <w:szCs w:val="24"/>
        </w:rPr>
        <w:t>d</w:t>
      </w:r>
      <w:r>
        <w:rPr>
          <w:sz w:val="24"/>
          <w:szCs w:val="24"/>
        </w:rPr>
        <w:t>lich, e</w:t>
      </w:r>
      <w:r w:rsidR="00DE5D7F">
        <w:rPr>
          <w:sz w:val="24"/>
          <w:szCs w:val="24"/>
        </w:rPr>
        <w:t>rst recht</w:t>
      </w:r>
      <w:r>
        <w:rPr>
          <w:sz w:val="24"/>
          <w:szCs w:val="24"/>
        </w:rPr>
        <w:t xml:space="preserve"> die Bereitschaft, ständig von sich aus, ohne Aufforderung, Meldungen bei den „Instanzen“ zu machen.</w:t>
      </w:r>
    </w:p>
    <w:p w:rsidR="00EA13D2" w:rsidRDefault="00EA13D2" w:rsidP="00A046FA">
      <w:pPr>
        <w:spacing w:after="0"/>
        <w:jc w:val="both"/>
        <w:rPr>
          <w:sz w:val="24"/>
          <w:szCs w:val="24"/>
        </w:rPr>
      </w:pPr>
    </w:p>
    <w:p w:rsidR="0048056E" w:rsidRDefault="00EA13D2" w:rsidP="00A046FA">
      <w:pPr>
        <w:spacing w:after="0"/>
        <w:jc w:val="both"/>
        <w:rPr>
          <w:sz w:val="24"/>
          <w:szCs w:val="24"/>
        </w:rPr>
      </w:pPr>
      <w:r>
        <w:rPr>
          <w:sz w:val="24"/>
          <w:szCs w:val="24"/>
        </w:rPr>
        <w:tab/>
        <w:t xml:space="preserve">Das Protokoll ist als sprachlich-politisches Dokument einzigartig. </w:t>
      </w:r>
      <w:r w:rsidR="006028C6">
        <w:rPr>
          <w:sz w:val="24"/>
          <w:szCs w:val="24"/>
        </w:rPr>
        <w:t>Es ist ein kollekt</w:t>
      </w:r>
      <w:r w:rsidR="006028C6">
        <w:rPr>
          <w:sz w:val="24"/>
          <w:szCs w:val="24"/>
        </w:rPr>
        <w:t>i</w:t>
      </w:r>
      <w:r w:rsidR="006028C6">
        <w:rPr>
          <w:sz w:val="24"/>
          <w:szCs w:val="24"/>
        </w:rPr>
        <w:t>ves, inquisitorisches Verhör, das dem äußeren Ablauf nach auf dem Grundsatz scheinbarer „Freiwilligkeit“ beruht, die ihrerseits wiederum Ausdruck „revolutionärer Wachsamkeit“ g</w:t>
      </w:r>
      <w:r w:rsidR="006028C6">
        <w:rPr>
          <w:sz w:val="24"/>
          <w:szCs w:val="24"/>
        </w:rPr>
        <w:t>e</w:t>
      </w:r>
      <w:r w:rsidR="006028C6">
        <w:rPr>
          <w:sz w:val="24"/>
          <w:szCs w:val="24"/>
        </w:rPr>
        <w:t xml:space="preserve">gen die Umtriebe der „Parteifeinde“ ist. </w:t>
      </w:r>
      <w:r w:rsidR="002F1413">
        <w:rPr>
          <w:sz w:val="24"/>
          <w:szCs w:val="24"/>
        </w:rPr>
        <w:t xml:space="preserve">Im Sinne der linguistischen Pragmatik handelt es sich um ein Beispiel von Zwangskommunikation. </w:t>
      </w:r>
    </w:p>
    <w:p w:rsidR="00462133" w:rsidRDefault="0048056E" w:rsidP="00A046FA">
      <w:pPr>
        <w:spacing w:after="0"/>
        <w:jc w:val="both"/>
        <w:rPr>
          <w:sz w:val="24"/>
          <w:szCs w:val="24"/>
        </w:rPr>
      </w:pPr>
      <w:r>
        <w:rPr>
          <w:sz w:val="24"/>
          <w:szCs w:val="24"/>
        </w:rPr>
        <w:tab/>
      </w:r>
      <w:r w:rsidR="00D92365">
        <w:rPr>
          <w:sz w:val="24"/>
          <w:szCs w:val="24"/>
        </w:rPr>
        <w:t>Die Anwesenden</w:t>
      </w:r>
      <w:r>
        <w:rPr>
          <w:sz w:val="24"/>
          <w:szCs w:val="24"/>
        </w:rPr>
        <w:t xml:space="preserve"> spr</w:t>
      </w:r>
      <w:r w:rsidR="00D92365">
        <w:rPr>
          <w:sz w:val="24"/>
          <w:szCs w:val="24"/>
        </w:rPr>
        <w:t>e</w:t>
      </w:r>
      <w:r>
        <w:rPr>
          <w:sz w:val="24"/>
          <w:szCs w:val="24"/>
        </w:rPr>
        <w:t>ch</w:t>
      </w:r>
      <w:r w:rsidR="00D92365">
        <w:rPr>
          <w:sz w:val="24"/>
          <w:szCs w:val="24"/>
        </w:rPr>
        <w:t>en</w:t>
      </w:r>
      <w:r>
        <w:rPr>
          <w:sz w:val="24"/>
          <w:szCs w:val="24"/>
        </w:rPr>
        <w:t xml:space="preserve"> über die „Parteiverräter“ mit einem feststehenden Inventar sprachlicher </w:t>
      </w:r>
      <w:r w:rsidR="00EA13D2">
        <w:rPr>
          <w:sz w:val="24"/>
          <w:szCs w:val="24"/>
        </w:rPr>
        <w:t xml:space="preserve">Formeln und </w:t>
      </w:r>
      <w:r>
        <w:rPr>
          <w:sz w:val="24"/>
          <w:szCs w:val="24"/>
        </w:rPr>
        <w:t xml:space="preserve">Stereotypen, </w:t>
      </w:r>
      <w:r w:rsidR="00D92365">
        <w:rPr>
          <w:sz w:val="24"/>
          <w:szCs w:val="24"/>
        </w:rPr>
        <w:t xml:space="preserve">sie </w:t>
      </w:r>
      <w:r>
        <w:rPr>
          <w:sz w:val="24"/>
          <w:szCs w:val="24"/>
        </w:rPr>
        <w:t>argumentier</w:t>
      </w:r>
      <w:r w:rsidR="00D92365">
        <w:rPr>
          <w:sz w:val="24"/>
          <w:szCs w:val="24"/>
        </w:rPr>
        <w:t>en</w:t>
      </w:r>
      <w:r w:rsidR="00EA13D2">
        <w:rPr>
          <w:sz w:val="24"/>
          <w:szCs w:val="24"/>
        </w:rPr>
        <w:t xml:space="preserve"> </w:t>
      </w:r>
      <w:r w:rsidR="00D92365">
        <w:rPr>
          <w:sz w:val="24"/>
          <w:szCs w:val="24"/>
        </w:rPr>
        <w:t>mit Hilfe von</w:t>
      </w:r>
      <w:r>
        <w:rPr>
          <w:sz w:val="24"/>
          <w:szCs w:val="24"/>
        </w:rPr>
        <w:t xml:space="preserve"> allen Beteiligten g</w:t>
      </w:r>
      <w:r>
        <w:rPr>
          <w:sz w:val="24"/>
          <w:szCs w:val="24"/>
        </w:rPr>
        <w:t>e</w:t>
      </w:r>
      <w:r>
        <w:rPr>
          <w:sz w:val="24"/>
          <w:szCs w:val="24"/>
        </w:rPr>
        <w:t xml:space="preserve">läufigen </w:t>
      </w:r>
      <w:r w:rsidR="00EA13D2">
        <w:rPr>
          <w:sz w:val="24"/>
          <w:szCs w:val="24"/>
        </w:rPr>
        <w:t>Strategien und Rituale</w:t>
      </w:r>
      <w:r>
        <w:rPr>
          <w:sz w:val="24"/>
          <w:szCs w:val="24"/>
        </w:rPr>
        <w:t>n. Der Ablauf der Veranstaltung wird von einem festen</w:t>
      </w:r>
      <w:r w:rsidR="00EA13D2">
        <w:rPr>
          <w:sz w:val="24"/>
          <w:szCs w:val="24"/>
        </w:rPr>
        <w:t xml:space="preserve"> ko</w:t>
      </w:r>
      <w:r w:rsidR="00EA13D2">
        <w:rPr>
          <w:sz w:val="24"/>
          <w:szCs w:val="24"/>
        </w:rPr>
        <w:t>m</w:t>
      </w:r>
      <w:r w:rsidR="00EA13D2">
        <w:rPr>
          <w:sz w:val="24"/>
          <w:szCs w:val="24"/>
        </w:rPr>
        <w:t>munikative</w:t>
      </w:r>
      <w:r>
        <w:rPr>
          <w:sz w:val="24"/>
          <w:szCs w:val="24"/>
        </w:rPr>
        <w:t>m</w:t>
      </w:r>
      <w:r w:rsidR="00EA13D2">
        <w:rPr>
          <w:sz w:val="24"/>
          <w:szCs w:val="24"/>
        </w:rPr>
        <w:t xml:space="preserve"> Ritual</w:t>
      </w:r>
      <w:r>
        <w:rPr>
          <w:sz w:val="24"/>
          <w:szCs w:val="24"/>
        </w:rPr>
        <w:t xml:space="preserve"> bestimmt; ein zentraler Bestandteil ist dabei das </w:t>
      </w:r>
      <w:r w:rsidR="00EA13D2">
        <w:rPr>
          <w:sz w:val="24"/>
          <w:szCs w:val="24"/>
        </w:rPr>
        <w:t>Wechselspiel von „Kr</w:t>
      </w:r>
      <w:r w:rsidR="00EA13D2">
        <w:rPr>
          <w:sz w:val="24"/>
          <w:szCs w:val="24"/>
        </w:rPr>
        <w:t>i</w:t>
      </w:r>
      <w:r w:rsidR="00EA13D2">
        <w:rPr>
          <w:sz w:val="24"/>
          <w:szCs w:val="24"/>
        </w:rPr>
        <w:t>tik“ und „Selbstkritik“</w:t>
      </w:r>
      <w:r w:rsidR="00D92365">
        <w:rPr>
          <w:sz w:val="24"/>
          <w:szCs w:val="24"/>
        </w:rPr>
        <w:t>:</w:t>
      </w:r>
      <w:r>
        <w:rPr>
          <w:sz w:val="24"/>
          <w:szCs w:val="24"/>
        </w:rPr>
        <w:t xml:space="preserve"> der Beschuldigung </w:t>
      </w:r>
      <w:r w:rsidRPr="008A7527">
        <w:rPr>
          <w:i/>
          <w:sz w:val="24"/>
          <w:szCs w:val="24"/>
        </w:rPr>
        <w:t>anderer</w:t>
      </w:r>
      <w:r>
        <w:rPr>
          <w:sz w:val="24"/>
          <w:szCs w:val="24"/>
        </w:rPr>
        <w:t xml:space="preserve"> und der eigenen </w:t>
      </w:r>
      <w:r w:rsidRPr="006256EA">
        <w:rPr>
          <w:i/>
          <w:sz w:val="24"/>
          <w:szCs w:val="24"/>
        </w:rPr>
        <w:t>Abgrenzung</w:t>
      </w:r>
      <w:r>
        <w:rPr>
          <w:sz w:val="24"/>
          <w:szCs w:val="24"/>
        </w:rPr>
        <w:t xml:space="preserve"> vom Tun dieser Beschuldigten</w:t>
      </w:r>
      <w:r w:rsidR="00EA13D2">
        <w:rPr>
          <w:sz w:val="24"/>
          <w:szCs w:val="24"/>
        </w:rPr>
        <w:t>.</w:t>
      </w:r>
      <w:r w:rsidR="00462133">
        <w:rPr>
          <w:sz w:val="24"/>
          <w:szCs w:val="24"/>
        </w:rPr>
        <w:t xml:space="preserve"> </w:t>
      </w:r>
      <w:r w:rsidR="008A7527">
        <w:rPr>
          <w:sz w:val="24"/>
          <w:szCs w:val="24"/>
        </w:rPr>
        <w:t>Die</w:t>
      </w:r>
      <w:r>
        <w:rPr>
          <w:sz w:val="24"/>
          <w:szCs w:val="24"/>
        </w:rPr>
        <w:t xml:space="preserve"> Formelhaftigkeit der Begriffe wie der Beschuldigungen</w:t>
      </w:r>
      <w:r w:rsidR="008A7527">
        <w:rPr>
          <w:sz w:val="24"/>
          <w:szCs w:val="24"/>
        </w:rPr>
        <w:t xml:space="preserve"> – „Ve</w:t>
      </w:r>
      <w:r w:rsidR="008A7527">
        <w:rPr>
          <w:sz w:val="24"/>
          <w:szCs w:val="24"/>
        </w:rPr>
        <w:t>r</w:t>
      </w:r>
      <w:r w:rsidR="008A7527">
        <w:rPr>
          <w:sz w:val="24"/>
          <w:szCs w:val="24"/>
        </w:rPr>
        <w:t>söhnler“, „Sektierer“</w:t>
      </w:r>
      <w:r w:rsidR="006256EA">
        <w:rPr>
          <w:sz w:val="24"/>
          <w:szCs w:val="24"/>
        </w:rPr>
        <w:t>, „Trotzkist“ – macht deutlich, in welchem Rahmen man sich dabei b</w:t>
      </w:r>
      <w:r w:rsidR="006256EA">
        <w:rPr>
          <w:sz w:val="24"/>
          <w:szCs w:val="24"/>
        </w:rPr>
        <w:t>e</w:t>
      </w:r>
      <w:r w:rsidR="006256EA">
        <w:rPr>
          <w:sz w:val="24"/>
          <w:szCs w:val="24"/>
        </w:rPr>
        <w:t>wegt: im Rahmen der Normativität der Parteigeschichte</w:t>
      </w:r>
      <w:r w:rsidR="00462133">
        <w:rPr>
          <w:sz w:val="24"/>
          <w:szCs w:val="24"/>
        </w:rPr>
        <w:t xml:space="preserve">. Verfolgt </w:t>
      </w:r>
      <w:r w:rsidR="006256EA">
        <w:rPr>
          <w:sz w:val="24"/>
          <w:szCs w:val="24"/>
        </w:rPr>
        <w:t xml:space="preserve">– und als „Parteifeinde“ stigmatisiert </w:t>
      </w:r>
      <w:r w:rsidR="00462133">
        <w:rPr>
          <w:sz w:val="24"/>
          <w:szCs w:val="24"/>
        </w:rPr>
        <w:t xml:space="preserve">werden </w:t>
      </w:r>
      <w:r w:rsidR="006256EA">
        <w:rPr>
          <w:sz w:val="24"/>
          <w:szCs w:val="24"/>
        </w:rPr>
        <w:t xml:space="preserve">vor allem </w:t>
      </w:r>
      <w:r w:rsidR="00462133">
        <w:rPr>
          <w:sz w:val="24"/>
          <w:szCs w:val="24"/>
        </w:rPr>
        <w:t xml:space="preserve">die früheren innerparteilichen </w:t>
      </w:r>
      <w:r w:rsidR="006256EA">
        <w:rPr>
          <w:sz w:val="24"/>
          <w:szCs w:val="24"/>
        </w:rPr>
        <w:t>Rivalen</w:t>
      </w:r>
      <w:r w:rsidR="00462133">
        <w:rPr>
          <w:sz w:val="24"/>
          <w:szCs w:val="24"/>
        </w:rPr>
        <w:t xml:space="preserve">, </w:t>
      </w:r>
      <w:r w:rsidR="006256EA">
        <w:rPr>
          <w:sz w:val="24"/>
          <w:szCs w:val="24"/>
        </w:rPr>
        <w:t xml:space="preserve">speziell diejenigen, die dem Kurs der Bolschewisierung der KPD kritisch bzw. ablehnend gegenübergestanden hatten, </w:t>
      </w:r>
      <w:r w:rsidR="00462133">
        <w:rPr>
          <w:sz w:val="24"/>
          <w:szCs w:val="24"/>
        </w:rPr>
        <w:t xml:space="preserve">und zwar nicht nur die Anhänger der </w:t>
      </w:r>
      <w:r w:rsidR="006256EA">
        <w:rPr>
          <w:sz w:val="24"/>
          <w:szCs w:val="24"/>
        </w:rPr>
        <w:t>früher</w:t>
      </w:r>
      <w:r w:rsidR="00462133">
        <w:rPr>
          <w:sz w:val="24"/>
          <w:szCs w:val="24"/>
        </w:rPr>
        <w:t>en „ultralinken“ Parteiführung, also Ruth Fischers und ihrer Gruppierung, sondern vor allem die „Versöhnler“.</w:t>
      </w:r>
      <w:r w:rsidR="00462133">
        <w:rPr>
          <w:rStyle w:val="Funotenzeichen"/>
          <w:sz w:val="24"/>
          <w:szCs w:val="24"/>
        </w:rPr>
        <w:footnoteReference w:id="25"/>
      </w:r>
      <w:r w:rsidR="00462133">
        <w:rPr>
          <w:sz w:val="24"/>
          <w:szCs w:val="24"/>
        </w:rPr>
        <w:t xml:space="preserve"> Gerade sie rücken ins Zentrum der Angriffe. Wer immer Kontakte – der spezielle Begriff ist „Verbindungen“ – zu „Versöh</w:t>
      </w:r>
      <w:r w:rsidR="00462133">
        <w:rPr>
          <w:sz w:val="24"/>
          <w:szCs w:val="24"/>
        </w:rPr>
        <w:t>n</w:t>
      </w:r>
      <w:r w:rsidR="00462133">
        <w:rPr>
          <w:sz w:val="24"/>
          <w:szCs w:val="24"/>
        </w:rPr>
        <w:t>lern“ hatte, muss sich in Moskau auf das penibelste dafür rechtfertigen – in den meisten Fä</w:t>
      </w:r>
      <w:r w:rsidR="00462133">
        <w:rPr>
          <w:sz w:val="24"/>
          <w:szCs w:val="24"/>
        </w:rPr>
        <w:t>l</w:t>
      </w:r>
      <w:r w:rsidR="00462133">
        <w:rPr>
          <w:sz w:val="24"/>
          <w:szCs w:val="24"/>
        </w:rPr>
        <w:t>len ohne Erfolg. Man operiert mit diskreditierenden Formeln, die in ständiger Wiederholung auftauchen. Da wird vom „</w:t>
      </w:r>
      <w:proofErr w:type="spellStart"/>
      <w:r w:rsidR="00462133">
        <w:rPr>
          <w:sz w:val="24"/>
          <w:szCs w:val="24"/>
        </w:rPr>
        <w:t>Versöhnlersalon</w:t>
      </w:r>
      <w:proofErr w:type="spellEnd"/>
      <w:r w:rsidR="00462133">
        <w:rPr>
          <w:sz w:val="24"/>
          <w:szCs w:val="24"/>
        </w:rPr>
        <w:t>“</w:t>
      </w:r>
      <w:r w:rsidR="00C3700E">
        <w:rPr>
          <w:rStyle w:val="Funotenzeichen"/>
          <w:sz w:val="24"/>
          <w:szCs w:val="24"/>
        </w:rPr>
        <w:footnoteReference w:id="26"/>
      </w:r>
      <w:r w:rsidR="00462133">
        <w:rPr>
          <w:sz w:val="24"/>
          <w:szCs w:val="24"/>
        </w:rPr>
        <w:t xml:space="preserve"> des John Heartfield gesprochen</w:t>
      </w:r>
      <w:r w:rsidR="00462133" w:rsidRPr="004236B9">
        <w:rPr>
          <w:sz w:val="24"/>
          <w:szCs w:val="24"/>
        </w:rPr>
        <w:t xml:space="preserve"> </w:t>
      </w:r>
      <w:r w:rsidR="00462133">
        <w:rPr>
          <w:sz w:val="24"/>
          <w:szCs w:val="24"/>
        </w:rPr>
        <w:t>oder von den „</w:t>
      </w:r>
      <w:proofErr w:type="spellStart"/>
      <w:r w:rsidR="00462133">
        <w:rPr>
          <w:sz w:val="24"/>
          <w:szCs w:val="24"/>
        </w:rPr>
        <w:t>Versöhnlercliquen</w:t>
      </w:r>
      <w:proofErr w:type="spellEnd"/>
      <w:r w:rsidR="00462133">
        <w:rPr>
          <w:sz w:val="24"/>
          <w:szCs w:val="24"/>
        </w:rPr>
        <w:t>“ in Prag und in Zürich, vor allem aber von der sog</w:t>
      </w:r>
      <w:r w:rsidR="006256EA">
        <w:rPr>
          <w:sz w:val="24"/>
          <w:szCs w:val="24"/>
        </w:rPr>
        <w:t>enannten</w:t>
      </w:r>
      <w:r w:rsidR="00462133">
        <w:rPr>
          <w:sz w:val="24"/>
          <w:szCs w:val="24"/>
        </w:rPr>
        <w:t xml:space="preserve"> „historischen Zusammenkunft“ ehemaliger „Versöhnler“ in Moskau. Hierbei handelte es sich in Wirklic</w:t>
      </w:r>
      <w:r w:rsidR="00462133">
        <w:rPr>
          <w:sz w:val="24"/>
          <w:szCs w:val="24"/>
        </w:rPr>
        <w:t>h</w:t>
      </w:r>
      <w:r w:rsidR="00462133">
        <w:rPr>
          <w:sz w:val="24"/>
          <w:szCs w:val="24"/>
        </w:rPr>
        <w:t>keit um einen geselligen Abend mit völlig unpolitischem Verlauf und ohne jede parteifeindl</w:t>
      </w:r>
      <w:r w:rsidR="00462133">
        <w:rPr>
          <w:sz w:val="24"/>
          <w:szCs w:val="24"/>
        </w:rPr>
        <w:t>i</w:t>
      </w:r>
      <w:r w:rsidR="00462133">
        <w:rPr>
          <w:sz w:val="24"/>
          <w:szCs w:val="24"/>
        </w:rPr>
        <w:t xml:space="preserve">che Bedeutung. </w:t>
      </w:r>
    </w:p>
    <w:p w:rsidR="00462133" w:rsidRDefault="00462133" w:rsidP="00A046FA">
      <w:pPr>
        <w:spacing w:after="0"/>
        <w:ind w:firstLine="708"/>
        <w:jc w:val="both"/>
        <w:rPr>
          <w:sz w:val="24"/>
          <w:szCs w:val="24"/>
        </w:rPr>
      </w:pPr>
      <w:r>
        <w:rPr>
          <w:sz w:val="24"/>
          <w:szCs w:val="24"/>
        </w:rPr>
        <w:t>Wer auch nur mit „Versöhnlern“ in Kontakt steht, entlarvt sich selber als „Parte</w:t>
      </w:r>
      <w:r>
        <w:rPr>
          <w:sz w:val="24"/>
          <w:szCs w:val="24"/>
        </w:rPr>
        <w:t>i</w:t>
      </w:r>
      <w:r>
        <w:rPr>
          <w:sz w:val="24"/>
          <w:szCs w:val="24"/>
        </w:rPr>
        <w:t>feind“,</w:t>
      </w:r>
      <w:r>
        <w:rPr>
          <w:rStyle w:val="Funotenzeichen"/>
          <w:sz w:val="24"/>
          <w:szCs w:val="24"/>
        </w:rPr>
        <w:footnoteReference w:id="27"/>
      </w:r>
      <w:r w:rsidRPr="009D2C04">
        <w:rPr>
          <w:sz w:val="24"/>
          <w:szCs w:val="24"/>
        </w:rPr>
        <w:t xml:space="preserve"> </w:t>
      </w:r>
      <w:r>
        <w:rPr>
          <w:sz w:val="24"/>
          <w:szCs w:val="24"/>
        </w:rPr>
        <w:t>denn ihm hat es an „revolutionärer Wachsamkeit“ gemangelt. „Parteifeinde“, „Ve</w:t>
      </w:r>
      <w:r>
        <w:rPr>
          <w:sz w:val="24"/>
          <w:szCs w:val="24"/>
        </w:rPr>
        <w:t>r</w:t>
      </w:r>
      <w:r>
        <w:rPr>
          <w:sz w:val="24"/>
          <w:szCs w:val="24"/>
        </w:rPr>
        <w:t>söhnler“</w:t>
      </w:r>
      <w:r w:rsidR="00C3700E">
        <w:rPr>
          <w:sz w:val="24"/>
          <w:szCs w:val="24"/>
        </w:rPr>
        <w:t xml:space="preserve"> </w:t>
      </w:r>
      <w:r w:rsidR="003A4384">
        <w:rPr>
          <w:sz w:val="24"/>
          <w:szCs w:val="24"/>
        </w:rPr>
        <w:t xml:space="preserve">oder </w:t>
      </w:r>
      <w:r>
        <w:rPr>
          <w:sz w:val="24"/>
          <w:szCs w:val="24"/>
        </w:rPr>
        <w:t>„Trotzkisten“ nicht rechtzeitig entlarvt zu haben wird zu einem todeswürdigen Delikt, selbst wenn sich die Parteifeinde erfolgreich – durch eine „Maske“ – getarnt haben.</w:t>
      </w:r>
      <w:r w:rsidRPr="009D2C04">
        <w:rPr>
          <w:sz w:val="24"/>
          <w:szCs w:val="24"/>
        </w:rPr>
        <w:t xml:space="preserve"> </w:t>
      </w:r>
      <w:r>
        <w:rPr>
          <w:sz w:val="24"/>
          <w:szCs w:val="24"/>
        </w:rPr>
        <w:t>Der „wirkliche Kommunist“ – hier zeigt sich der Gipfel der intellektuellen Deformierung – erkennt den „Parteifeind“ auch unter der „Maske“.</w:t>
      </w:r>
    </w:p>
    <w:p w:rsidR="00C3700E" w:rsidRDefault="00C3700E" w:rsidP="00A046FA">
      <w:pPr>
        <w:spacing w:after="0"/>
        <w:jc w:val="both"/>
        <w:rPr>
          <w:sz w:val="24"/>
          <w:szCs w:val="24"/>
        </w:rPr>
      </w:pPr>
      <w:r>
        <w:rPr>
          <w:sz w:val="24"/>
          <w:szCs w:val="24"/>
        </w:rPr>
        <w:tab/>
        <w:t xml:space="preserve">Das Protokoll der Parteiversammlung macht im Übrigen deutlich, dass </w:t>
      </w:r>
      <w:r w:rsidR="006256EA">
        <w:rPr>
          <w:sz w:val="24"/>
          <w:szCs w:val="24"/>
        </w:rPr>
        <w:t xml:space="preserve">sogar </w:t>
      </w:r>
      <w:r>
        <w:rPr>
          <w:sz w:val="24"/>
          <w:szCs w:val="24"/>
        </w:rPr>
        <w:t>der B</w:t>
      </w:r>
      <w:r>
        <w:rPr>
          <w:sz w:val="24"/>
          <w:szCs w:val="24"/>
        </w:rPr>
        <w:t>e</w:t>
      </w:r>
      <w:r>
        <w:rPr>
          <w:sz w:val="24"/>
          <w:szCs w:val="24"/>
        </w:rPr>
        <w:t xml:space="preserve">griff „Versöhnler“ keineswegs nur im strikten Sinne einer bestimmten Fraktionszugehörigkeit gebraucht wird, sondern dass er ständig </w:t>
      </w:r>
      <w:r w:rsidR="001B7CF9">
        <w:rPr>
          <w:sz w:val="24"/>
          <w:szCs w:val="24"/>
        </w:rPr>
        <w:t>er</w:t>
      </w:r>
      <w:r>
        <w:rPr>
          <w:sz w:val="24"/>
          <w:szCs w:val="24"/>
        </w:rPr>
        <w:t>weite</w:t>
      </w:r>
      <w:r w:rsidR="001B7CF9">
        <w:rPr>
          <w:sz w:val="24"/>
          <w:szCs w:val="24"/>
        </w:rPr>
        <w:t>r</w:t>
      </w:r>
      <w:r>
        <w:rPr>
          <w:sz w:val="24"/>
          <w:szCs w:val="24"/>
        </w:rPr>
        <w:t>t und damit jeder rationalen politischen Su</w:t>
      </w:r>
      <w:r>
        <w:rPr>
          <w:sz w:val="24"/>
          <w:szCs w:val="24"/>
        </w:rPr>
        <w:t>b</w:t>
      </w:r>
      <w:r>
        <w:rPr>
          <w:sz w:val="24"/>
          <w:szCs w:val="24"/>
        </w:rPr>
        <w:t>stanz beraubt wird. Es tauchen Formulierungen auf wie: ein Genosse habe sich „als Versöh</w:t>
      </w:r>
      <w:r>
        <w:rPr>
          <w:sz w:val="24"/>
          <w:szCs w:val="24"/>
        </w:rPr>
        <w:t>n</w:t>
      </w:r>
      <w:r>
        <w:rPr>
          <w:sz w:val="24"/>
          <w:szCs w:val="24"/>
        </w:rPr>
        <w:t>ler“ gezeigt</w:t>
      </w:r>
      <w:r>
        <w:rPr>
          <w:rStyle w:val="Funotenzeichen"/>
          <w:sz w:val="24"/>
          <w:szCs w:val="24"/>
        </w:rPr>
        <w:footnoteReference w:id="28"/>
      </w:r>
      <w:r>
        <w:rPr>
          <w:sz w:val="24"/>
          <w:szCs w:val="24"/>
        </w:rPr>
        <w:t xml:space="preserve"> oder </w:t>
      </w:r>
      <w:r w:rsidR="002F1413">
        <w:rPr>
          <w:sz w:val="24"/>
          <w:szCs w:val="24"/>
        </w:rPr>
        <w:t xml:space="preserve">Karl </w:t>
      </w:r>
      <w:proofErr w:type="spellStart"/>
      <w:r>
        <w:rPr>
          <w:sz w:val="24"/>
          <w:szCs w:val="24"/>
        </w:rPr>
        <w:t>Schmückle</w:t>
      </w:r>
      <w:proofErr w:type="spellEnd"/>
      <w:r w:rsidR="002F1413">
        <w:rPr>
          <w:sz w:val="24"/>
          <w:szCs w:val="24"/>
        </w:rPr>
        <w:t>,</w:t>
      </w:r>
      <w:r>
        <w:rPr>
          <w:sz w:val="24"/>
          <w:szCs w:val="24"/>
        </w:rPr>
        <w:t xml:space="preserve"> der im September 1936 politisch bereits geächtet ist</w:t>
      </w:r>
      <w:r w:rsidR="002F1413">
        <w:rPr>
          <w:sz w:val="24"/>
          <w:szCs w:val="24"/>
        </w:rPr>
        <w:t>,</w:t>
      </w:r>
      <w:r>
        <w:rPr>
          <w:sz w:val="24"/>
          <w:szCs w:val="24"/>
        </w:rPr>
        <w:t xml:space="preserve"> sei ein „Versöhnler aus Veranlagung“.</w:t>
      </w:r>
      <w:r>
        <w:rPr>
          <w:rStyle w:val="Funotenzeichen"/>
          <w:sz w:val="24"/>
          <w:szCs w:val="24"/>
        </w:rPr>
        <w:footnoteReference w:id="29"/>
      </w:r>
      <w:r>
        <w:rPr>
          <w:sz w:val="24"/>
          <w:szCs w:val="24"/>
        </w:rPr>
        <w:t xml:space="preserve"> </w:t>
      </w:r>
      <w:proofErr w:type="spellStart"/>
      <w:r>
        <w:rPr>
          <w:sz w:val="24"/>
          <w:szCs w:val="24"/>
        </w:rPr>
        <w:t>Schmückle</w:t>
      </w:r>
      <w:proofErr w:type="spellEnd"/>
      <w:r>
        <w:rPr>
          <w:sz w:val="24"/>
          <w:szCs w:val="24"/>
        </w:rPr>
        <w:t xml:space="preserve"> wiederum hatte laut </w:t>
      </w:r>
      <w:proofErr w:type="spellStart"/>
      <w:r>
        <w:rPr>
          <w:sz w:val="24"/>
          <w:szCs w:val="24"/>
        </w:rPr>
        <w:t>Bredel</w:t>
      </w:r>
      <w:proofErr w:type="spellEnd"/>
      <w:r>
        <w:rPr>
          <w:sz w:val="24"/>
          <w:szCs w:val="24"/>
        </w:rPr>
        <w:t xml:space="preserve"> ihn selber bei der </w:t>
      </w:r>
      <w:r>
        <w:rPr>
          <w:sz w:val="24"/>
          <w:szCs w:val="24"/>
        </w:rPr>
        <w:lastRenderedPageBreak/>
        <w:t>Diskussion über Malraux als „Sektierer“ bezeichnet.</w:t>
      </w:r>
      <w:r>
        <w:rPr>
          <w:rStyle w:val="Funotenzeichen"/>
          <w:sz w:val="24"/>
          <w:szCs w:val="24"/>
        </w:rPr>
        <w:footnoteReference w:id="30"/>
      </w:r>
      <w:r>
        <w:rPr>
          <w:sz w:val="24"/>
          <w:szCs w:val="24"/>
        </w:rPr>
        <w:t xml:space="preserve"> „Versöhnlertum“ und „Sektierertum“‘ sind wechselseitig aufeinander bezogene politische Abwertungen. Mit Marxismus und ma</w:t>
      </w:r>
      <w:r>
        <w:rPr>
          <w:sz w:val="24"/>
          <w:szCs w:val="24"/>
        </w:rPr>
        <w:t>r</w:t>
      </w:r>
      <w:r>
        <w:rPr>
          <w:sz w:val="24"/>
          <w:szCs w:val="24"/>
        </w:rPr>
        <w:t>xistischer Theorie haben diese Begriffe nichts mehr zu tun.</w:t>
      </w:r>
    </w:p>
    <w:p w:rsidR="00C3700E" w:rsidRPr="00AD64B3" w:rsidRDefault="00C3700E" w:rsidP="00A046FA">
      <w:pPr>
        <w:spacing w:after="0"/>
        <w:jc w:val="both"/>
        <w:rPr>
          <w:i/>
          <w:sz w:val="24"/>
          <w:szCs w:val="24"/>
        </w:rPr>
      </w:pPr>
      <w:r>
        <w:rPr>
          <w:sz w:val="24"/>
          <w:szCs w:val="24"/>
        </w:rPr>
        <w:tab/>
        <w:t xml:space="preserve">Die ‚Veranlagung‘ eines Verdächtigen: die physisch-physiognomische Gestalt eines Angeklagten, Homosexualität u. a. mehr, spielen bei der Entlarvung von „Parteifeinden“ eine beträchtliche Rolle. </w:t>
      </w:r>
      <w:r w:rsidR="00AD64B3">
        <w:rPr>
          <w:sz w:val="24"/>
          <w:szCs w:val="24"/>
        </w:rPr>
        <w:t xml:space="preserve">Ernst </w:t>
      </w:r>
      <w:proofErr w:type="spellStart"/>
      <w:r>
        <w:rPr>
          <w:sz w:val="24"/>
          <w:szCs w:val="24"/>
        </w:rPr>
        <w:t>Ottwalt</w:t>
      </w:r>
      <w:proofErr w:type="spellEnd"/>
      <w:r>
        <w:rPr>
          <w:sz w:val="24"/>
          <w:szCs w:val="24"/>
        </w:rPr>
        <w:t xml:space="preserve"> z. B. sagt: „Ich lernte den </w:t>
      </w:r>
      <w:proofErr w:type="spellStart"/>
      <w:r>
        <w:rPr>
          <w:sz w:val="24"/>
          <w:szCs w:val="24"/>
        </w:rPr>
        <w:t>Brustawitzki</w:t>
      </w:r>
      <w:proofErr w:type="spellEnd"/>
      <w:r>
        <w:rPr>
          <w:sz w:val="24"/>
          <w:szCs w:val="24"/>
        </w:rPr>
        <w:t xml:space="preserve"> hier in Moskau ke</w:t>
      </w:r>
      <w:r>
        <w:rPr>
          <w:sz w:val="24"/>
          <w:szCs w:val="24"/>
        </w:rPr>
        <w:t>n</w:t>
      </w:r>
      <w:r>
        <w:rPr>
          <w:sz w:val="24"/>
          <w:szCs w:val="24"/>
        </w:rPr>
        <w:t xml:space="preserve">nen </w:t>
      </w:r>
      <w:r>
        <w:rPr>
          <w:i/>
          <w:sz w:val="24"/>
          <w:szCs w:val="24"/>
        </w:rPr>
        <w:t xml:space="preserve">und roch, </w:t>
      </w:r>
      <w:proofErr w:type="spellStart"/>
      <w:r>
        <w:rPr>
          <w:i/>
          <w:sz w:val="24"/>
          <w:szCs w:val="24"/>
        </w:rPr>
        <w:t>daß</w:t>
      </w:r>
      <w:proofErr w:type="spellEnd"/>
      <w:r>
        <w:rPr>
          <w:i/>
          <w:sz w:val="24"/>
          <w:szCs w:val="24"/>
        </w:rPr>
        <w:t xml:space="preserve"> er stank, ein Hund, </w:t>
      </w:r>
      <w:r w:rsidRPr="00C3700E">
        <w:rPr>
          <w:i/>
          <w:sz w:val="24"/>
          <w:szCs w:val="24"/>
        </w:rPr>
        <w:t>der sich überall hineindrängt</w:t>
      </w:r>
      <w:r>
        <w:rPr>
          <w:sz w:val="24"/>
          <w:szCs w:val="24"/>
        </w:rPr>
        <w:t>, der einem nicht in die Augen sehen konnte.“</w:t>
      </w:r>
      <w:r>
        <w:rPr>
          <w:rStyle w:val="Funotenzeichen"/>
          <w:sz w:val="24"/>
          <w:szCs w:val="24"/>
        </w:rPr>
        <w:footnoteReference w:id="31"/>
      </w:r>
      <w:r>
        <w:rPr>
          <w:sz w:val="24"/>
          <w:szCs w:val="24"/>
        </w:rPr>
        <w:t xml:space="preserve"> In gleicher Weise spricht </w:t>
      </w:r>
      <w:proofErr w:type="spellStart"/>
      <w:r>
        <w:rPr>
          <w:sz w:val="24"/>
          <w:szCs w:val="24"/>
        </w:rPr>
        <w:t>Ottwalt</w:t>
      </w:r>
      <w:proofErr w:type="spellEnd"/>
      <w:r>
        <w:rPr>
          <w:sz w:val="24"/>
          <w:szCs w:val="24"/>
        </w:rPr>
        <w:t xml:space="preserve"> über einen weiteren Beschuldigten, </w:t>
      </w:r>
      <w:r w:rsidR="00AD64B3">
        <w:rPr>
          <w:sz w:val="24"/>
          <w:szCs w:val="24"/>
        </w:rPr>
        <w:t xml:space="preserve">Gustav </w:t>
      </w:r>
      <w:r>
        <w:rPr>
          <w:sz w:val="24"/>
          <w:szCs w:val="24"/>
        </w:rPr>
        <w:t xml:space="preserve">Brand: „Als ich den Mann zum </w:t>
      </w:r>
      <w:proofErr w:type="spellStart"/>
      <w:r>
        <w:rPr>
          <w:sz w:val="24"/>
          <w:szCs w:val="24"/>
        </w:rPr>
        <w:t>erstenmal</w:t>
      </w:r>
      <w:proofErr w:type="spellEnd"/>
      <w:r>
        <w:rPr>
          <w:sz w:val="24"/>
          <w:szCs w:val="24"/>
        </w:rPr>
        <w:t xml:space="preserve"> sah – </w:t>
      </w:r>
      <w:r>
        <w:rPr>
          <w:i/>
          <w:sz w:val="24"/>
          <w:szCs w:val="24"/>
        </w:rPr>
        <w:t>die schiefen Augen, die angewachs</w:t>
      </w:r>
      <w:r>
        <w:rPr>
          <w:i/>
          <w:sz w:val="24"/>
          <w:szCs w:val="24"/>
        </w:rPr>
        <w:t>e</w:t>
      </w:r>
      <w:r>
        <w:rPr>
          <w:i/>
          <w:sz w:val="24"/>
          <w:szCs w:val="24"/>
        </w:rPr>
        <w:t>nen Ohrläppchen</w:t>
      </w:r>
      <w:r>
        <w:rPr>
          <w:sz w:val="24"/>
          <w:szCs w:val="24"/>
        </w:rPr>
        <w:t xml:space="preserve"> –, ich sagte mir, hier stimmt etwas nicht.“</w:t>
      </w:r>
      <w:r>
        <w:rPr>
          <w:rStyle w:val="Funotenzeichen"/>
          <w:sz w:val="24"/>
          <w:szCs w:val="24"/>
        </w:rPr>
        <w:footnoteReference w:id="32"/>
      </w:r>
      <w:r>
        <w:rPr>
          <w:sz w:val="24"/>
          <w:szCs w:val="24"/>
        </w:rPr>
        <w:t xml:space="preserve"> </w:t>
      </w:r>
      <w:r w:rsidR="006F40F0">
        <w:rPr>
          <w:sz w:val="24"/>
          <w:szCs w:val="24"/>
        </w:rPr>
        <w:t xml:space="preserve">Johannes R. Becher enthält sich </w:t>
      </w:r>
      <w:r w:rsidR="00AD64B3">
        <w:rPr>
          <w:sz w:val="24"/>
          <w:szCs w:val="24"/>
        </w:rPr>
        <w:t xml:space="preserve">dagegen </w:t>
      </w:r>
      <w:r w:rsidR="006F40F0">
        <w:rPr>
          <w:sz w:val="24"/>
          <w:szCs w:val="24"/>
        </w:rPr>
        <w:t>äußerlich jeder Denunziation. Die Wertung erfolgt hier indirekt, durch eine verdeckte Anspielung auf „fraktionelle Tätigkeit“: „Meine Verbindung zu Heinrich [</w:t>
      </w:r>
      <w:proofErr w:type="spellStart"/>
      <w:r w:rsidR="006F40F0">
        <w:rPr>
          <w:sz w:val="24"/>
          <w:szCs w:val="24"/>
        </w:rPr>
        <w:t>Süßkind</w:t>
      </w:r>
      <w:proofErr w:type="spellEnd"/>
      <w:r w:rsidR="006F40F0">
        <w:rPr>
          <w:sz w:val="24"/>
          <w:szCs w:val="24"/>
        </w:rPr>
        <w:t xml:space="preserve">] war in dem Sinne freundschaftlich, als ich zwei- oder dreimal von ihm ins </w:t>
      </w:r>
      <w:proofErr w:type="spellStart"/>
      <w:r w:rsidR="006F40F0">
        <w:rPr>
          <w:sz w:val="24"/>
          <w:szCs w:val="24"/>
        </w:rPr>
        <w:t>Sojusnaja</w:t>
      </w:r>
      <w:proofErr w:type="spellEnd"/>
      <w:r w:rsidR="006F40F0">
        <w:rPr>
          <w:sz w:val="24"/>
          <w:szCs w:val="24"/>
        </w:rPr>
        <w:t xml:space="preserve"> eingeladen wurde, und das vierte Mal, als [ich] hinkam, sagte er, gehen wir dorthin, da ist eine kleine Gesellschaft. Diese kleine Gesellschaft bestand aus </w:t>
      </w:r>
      <w:r w:rsidR="002F1413">
        <w:rPr>
          <w:sz w:val="24"/>
          <w:szCs w:val="24"/>
        </w:rPr>
        <w:t>M</w:t>
      </w:r>
      <w:r w:rsidR="006F40F0">
        <w:rPr>
          <w:sz w:val="24"/>
          <w:szCs w:val="24"/>
        </w:rPr>
        <w:t xml:space="preserve">artha Moritz, ihrem Mann, Gen. Ewert, Heinrich </w:t>
      </w:r>
      <w:r w:rsidR="002F1413">
        <w:rPr>
          <w:sz w:val="24"/>
          <w:szCs w:val="24"/>
        </w:rPr>
        <w:t>[</w:t>
      </w:r>
      <w:proofErr w:type="spellStart"/>
      <w:r w:rsidR="002F1413">
        <w:rPr>
          <w:sz w:val="24"/>
          <w:szCs w:val="24"/>
        </w:rPr>
        <w:t>Süßkind</w:t>
      </w:r>
      <w:proofErr w:type="spellEnd"/>
      <w:r w:rsidR="002F1413">
        <w:rPr>
          <w:sz w:val="24"/>
          <w:szCs w:val="24"/>
        </w:rPr>
        <w:t xml:space="preserve">] </w:t>
      </w:r>
      <w:r w:rsidR="006F40F0">
        <w:rPr>
          <w:sz w:val="24"/>
          <w:szCs w:val="24"/>
        </w:rPr>
        <w:t xml:space="preserve">und Alice </w:t>
      </w:r>
      <w:proofErr w:type="spellStart"/>
      <w:r w:rsidR="006F40F0">
        <w:rPr>
          <w:sz w:val="24"/>
          <w:szCs w:val="24"/>
        </w:rPr>
        <w:t>Abramowitz</w:t>
      </w:r>
      <w:proofErr w:type="spellEnd"/>
      <w:r w:rsidR="006F40F0">
        <w:rPr>
          <w:sz w:val="24"/>
          <w:szCs w:val="24"/>
        </w:rPr>
        <w:t xml:space="preserve"> (die Frau von Magyar).“ Dass jedermann diese Erwähnung versteht, beweist die Nachfrage von Heinrich Meyer: „Das war die historische Zusammenkunft?“</w:t>
      </w:r>
      <w:r w:rsidR="006F40F0">
        <w:rPr>
          <w:rStyle w:val="Funotenzeichen"/>
          <w:sz w:val="24"/>
          <w:szCs w:val="24"/>
        </w:rPr>
        <w:footnoteReference w:id="33"/>
      </w:r>
      <w:r w:rsidR="002A3ACE">
        <w:rPr>
          <w:sz w:val="24"/>
          <w:szCs w:val="24"/>
        </w:rPr>
        <w:t xml:space="preserve"> </w:t>
      </w:r>
      <w:r w:rsidR="00AD64B3">
        <w:rPr>
          <w:sz w:val="24"/>
          <w:szCs w:val="24"/>
        </w:rPr>
        <w:t xml:space="preserve">Heinrich Meyer, der Sekretär des Politbüros der KPD, </w:t>
      </w:r>
      <w:r w:rsidR="002A3ACE">
        <w:rPr>
          <w:sz w:val="24"/>
          <w:szCs w:val="24"/>
        </w:rPr>
        <w:t xml:space="preserve">zieht </w:t>
      </w:r>
      <w:r w:rsidR="00AD64B3">
        <w:rPr>
          <w:sz w:val="24"/>
          <w:szCs w:val="24"/>
        </w:rPr>
        <w:t>mit diesen Worten das</w:t>
      </w:r>
      <w:r w:rsidR="002A3ACE">
        <w:rPr>
          <w:sz w:val="24"/>
          <w:szCs w:val="24"/>
        </w:rPr>
        <w:t xml:space="preserve"> Fazit: Der Zweck des Treffens ist bekannt, die Absichten der „Verschwörer“ sind entlarvt. </w:t>
      </w:r>
      <w:r w:rsidR="002A3ACE" w:rsidRPr="00AD64B3">
        <w:rPr>
          <w:i/>
          <w:sz w:val="24"/>
          <w:szCs w:val="24"/>
        </w:rPr>
        <w:t>Damit ist das Urteil gefällt.</w:t>
      </w:r>
    </w:p>
    <w:p w:rsidR="001D53E7" w:rsidRPr="008A5511" w:rsidRDefault="001D53E7" w:rsidP="00A046FA">
      <w:pPr>
        <w:spacing w:after="0"/>
        <w:jc w:val="both"/>
        <w:rPr>
          <w:sz w:val="24"/>
          <w:szCs w:val="24"/>
        </w:rPr>
      </w:pPr>
      <w:r>
        <w:rPr>
          <w:sz w:val="24"/>
          <w:szCs w:val="24"/>
        </w:rPr>
        <w:tab/>
        <w:t>Dass es sich hier nicht um zufällige Formulierungen eines nicht-repräsentativen Pe</w:t>
      </w:r>
      <w:r>
        <w:rPr>
          <w:sz w:val="24"/>
          <w:szCs w:val="24"/>
        </w:rPr>
        <w:t>r</w:t>
      </w:r>
      <w:r>
        <w:rPr>
          <w:sz w:val="24"/>
          <w:szCs w:val="24"/>
        </w:rPr>
        <w:t xml:space="preserve">sonenkreises, sondern um </w:t>
      </w:r>
      <w:r w:rsidR="008A5511">
        <w:rPr>
          <w:i/>
          <w:sz w:val="24"/>
          <w:szCs w:val="24"/>
        </w:rPr>
        <w:t>offiziöse</w:t>
      </w:r>
      <w:r w:rsidR="008A5511">
        <w:rPr>
          <w:sz w:val="24"/>
          <w:szCs w:val="24"/>
        </w:rPr>
        <w:t xml:space="preserve"> Sprachregelungen handelt, die einen klar definierten, j</w:t>
      </w:r>
      <w:r w:rsidR="008A5511">
        <w:rPr>
          <w:sz w:val="24"/>
          <w:szCs w:val="24"/>
        </w:rPr>
        <w:t>e</w:t>
      </w:r>
      <w:r w:rsidR="008A5511">
        <w:rPr>
          <w:sz w:val="24"/>
          <w:szCs w:val="24"/>
        </w:rPr>
        <w:t>dermann geläufigen politischen Stellenwert besitzen, wird daran deutlich, dass dieselben Formulierungen auch in offiziellen Parteidokumenten auftauchen. Reinhard Müller zitiert in diesem Zusamm</w:t>
      </w:r>
      <w:r w:rsidR="00AD64B3">
        <w:rPr>
          <w:sz w:val="24"/>
          <w:szCs w:val="24"/>
        </w:rPr>
        <w:t>en</w:t>
      </w:r>
      <w:r w:rsidR="008A5511">
        <w:rPr>
          <w:sz w:val="24"/>
          <w:szCs w:val="24"/>
        </w:rPr>
        <w:t xml:space="preserve">hang ein </w:t>
      </w:r>
      <w:r w:rsidR="00AD64B3">
        <w:rPr>
          <w:sz w:val="24"/>
          <w:szCs w:val="24"/>
        </w:rPr>
        <w:t>parteiintern</w:t>
      </w:r>
      <w:r w:rsidR="008A5511">
        <w:rPr>
          <w:sz w:val="24"/>
          <w:szCs w:val="24"/>
        </w:rPr>
        <w:t>es Dossier über Karl Volk und die „Versöhnler“, das explizit die Organisation der „Parteifeinde“ in bestimmten Exilzentren anspricht. Es zeigt darüber hinaus, dass im parteiinternen Sprachgebrauch zwischen „Versöhnlern“ und „Trot</w:t>
      </w:r>
      <w:r w:rsidR="008A5511">
        <w:rPr>
          <w:sz w:val="24"/>
          <w:szCs w:val="24"/>
        </w:rPr>
        <w:t>z</w:t>
      </w:r>
      <w:r w:rsidR="008A5511">
        <w:rPr>
          <w:sz w:val="24"/>
          <w:szCs w:val="24"/>
        </w:rPr>
        <w:t>kisten“ kein Unterschied gemacht wird.</w:t>
      </w:r>
      <w:r w:rsidR="008A5511">
        <w:rPr>
          <w:rStyle w:val="Funotenzeichen"/>
          <w:sz w:val="24"/>
          <w:szCs w:val="24"/>
        </w:rPr>
        <w:footnoteReference w:id="34"/>
      </w:r>
      <w:r w:rsidR="008A5511">
        <w:rPr>
          <w:sz w:val="24"/>
          <w:szCs w:val="24"/>
        </w:rPr>
        <w:t xml:space="preserve"> </w:t>
      </w:r>
    </w:p>
    <w:p w:rsidR="002A3ACE" w:rsidRDefault="002A3ACE" w:rsidP="00A046FA">
      <w:pPr>
        <w:spacing w:after="0"/>
        <w:jc w:val="both"/>
        <w:rPr>
          <w:sz w:val="24"/>
          <w:szCs w:val="24"/>
        </w:rPr>
      </w:pPr>
    </w:p>
    <w:p w:rsidR="002A3ACE" w:rsidRDefault="002A3ACE" w:rsidP="00A046FA">
      <w:pPr>
        <w:spacing w:after="0"/>
        <w:jc w:val="both"/>
        <w:rPr>
          <w:sz w:val="24"/>
          <w:szCs w:val="24"/>
        </w:rPr>
      </w:pPr>
      <w:r>
        <w:rPr>
          <w:sz w:val="24"/>
          <w:szCs w:val="24"/>
        </w:rPr>
        <w:tab/>
        <w:t>Nach und nach treten bestimmte ausländische Emigrationszentren wie Prag oder Z</w:t>
      </w:r>
      <w:r>
        <w:rPr>
          <w:sz w:val="24"/>
          <w:szCs w:val="24"/>
        </w:rPr>
        <w:t>ü</w:t>
      </w:r>
      <w:r>
        <w:rPr>
          <w:sz w:val="24"/>
          <w:szCs w:val="24"/>
        </w:rPr>
        <w:t xml:space="preserve">rich als Schauplätze „parteifeindlicher Tätigkeit“ in Erscheinung. Mitglieder des Moskauer Schriftstellerexils, die sich auch nur zeitweilig an diesen Orten aufgehalten haben, gelangen fast zwangsläufig in den Verdacht, nach Prag oder Zürich nur deshalb gereist zu sein, um „Verbindungen“ zu „parteifeindlichen Elementen“ aufnehmen zu können. So sagt Ernst </w:t>
      </w:r>
      <w:proofErr w:type="spellStart"/>
      <w:r>
        <w:rPr>
          <w:sz w:val="24"/>
          <w:szCs w:val="24"/>
        </w:rPr>
        <w:t>Ot</w:t>
      </w:r>
      <w:r>
        <w:rPr>
          <w:sz w:val="24"/>
          <w:szCs w:val="24"/>
        </w:rPr>
        <w:t>t</w:t>
      </w:r>
      <w:r>
        <w:rPr>
          <w:sz w:val="24"/>
          <w:szCs w:val="24"/>
        </w:rPr>
        <w:t>walt</w:t>
      </w:r>
      <w:proofErr w:type="spellEnd"/>
      <w:r>
        <w:rPr>
          <w:sz w:val="24"/>
          <w:szCs w:val="24"/>
        </w:rPr>
        <w:t xml:space="preserve"> über Maria Osten: </w:t>
      </w:r>
    </w:p>
    <w:p w:rsidR="002A3ACE" w:rsidRPr="002A3ACE" w:rsidRDefault="002A3ACE" w:rsidP="00A046FA">
      <w:pPr>
        <w:spacing w:after="0"/>
        <w:ind w:left="1134"/>
        <w:jc w:val="both"/>
        <w:rPr>
          <w:sz w:val="24"/>
          <w:szCs w:val="24"/>
        </w:rPr>
      </w:pPr>
      <w:r>
        <w:rPr>
          <w:sz w:val="24"/>
          <w:szCs w:val="24"/>
        </w:rPr>
        <w:t xml:space="preserve">„Ich wollte nicht andeuten, ich wollte über die Genossin Osten </w:t>
      </w:r>
      <w:r>
        <w:rPr>
          <w:i/>
          <w:sz w:val="24"/>
          <w:szCs w:val="24"/>
        </w:rPr>
        <w:t>sagen</w:t>
      </w:r>
      <w:r>
        <w:rPr>
          <w:sz w:val="24"/>
          <w:szCs w:val="24"/>
        </w:rPr>
        <w:t xml:space="preserve">, </w:t>
      </w:r>
      <w:proofErr w:type="spellStart"/>
      <w:r>
        <w:rPr>
          <w:sz w:val="24"/>
          <w:szCs w:val="24"/>
        </w:rPr>
        <w:t>daß</w:t>
      </w:r>
      <w:proofErr w:type="spellEnd"/>
      <w:r>
        <w:rPr>
          <w:sz w:val="24"/>
          <w:szCs w:val="24"/>
        </w:rPr>
        <w:t xml:space="preserve"> sie nicht nur in Berlin die allerengsten Beziehungen zu der </w:t>
      </w:r>
      <w:proofErr w:type="spellStart"/>
      <w:r>
        <w:rPr>
          <w:sz w:val="24"/>
          <w:szCs w:val="24"/>
        </w:rPr>
        <w:t>Versöhnlerfraktion</w:t>
      </w:r>
      <w:proofErr w:type="spellEnd"/>
      <w:r>
        <w:rPr>
          <w:sz w:val="24"/>
          <w:szCs w:val="24"/>
        </w:rPr>
        <w:t xml:space="preserve"> unte</w:t>
      </w:r>
      <w:r>
        <w:rPr>
          <w:sz w:val="24"/>
          <w:szCs w:val="24"/>
        </w:rPr>
        <w:t>r</w:t>
      </w:r>
      <w:r>
        <w:rPr>
          <w:sz w:val="24"/>
          <w:szCs w:val="24"/>
        </w:rPr>
        <w:t xml:space="preserve">halten hat – Volk, Ende, Ewert, Eberlein –, sondern, </w:t>
      </w:r>
      <w:proofErr w:type="spellStart"/>
      <w:r>
        <w:rPr>
          <w:sz w:val="24"/>
          <w:szCs w:val="24"/>
        </w:rPr>
        <w:t>daß</w:t>
      </w:r>
      <w:proofErr w:type="spellEnd"/>
      <w:r>
        <w:rPr>
          <w:sz w:val="24"/>
          <w:szCs w:val="24"/>
        </w:rPr>
        <w:t xml:space="preserve"> die Genossen Osten </w:t>
      </w:r>
      <w:r>
        <w:rPr>
          <w:i/>
          <w:sz w:val="24"/>
          <w:szCs w:val="24"/>
        </w:rPr>
        <w:t>auf einer Auslandsreise</w:t>
      </w:r>
      <w:r>
        <w:rPr>
          <w:sz w:val="24"/>
          <w:szCs w:val="24"/>
        </w:rPr>
        <w:t xml:space="preserve"> mir sogar den Volk ins Haus geschleppt hat unter falschen </w:t>
      </w:r>
      <w:r>
        <w:rPr>
          <w:sz w:val="24"/>
          <w:szCs w:val="24"/>
        </w:rPr>
        <w:lastRenderedPageBreak/>
        <w:t xml:space="preserve">Vorspiegelungen. Das war Februar 33. </w:t>
      </w:r>
      <w:r w:rsidR="001D53E7">
        <w:rPr>
          <w:sz w:val="24"/>
          <w:szCs w:val="24"/>
        </w:rPr>
        <w:t xml:space="preserve">[Karl] </w:t>
      </w:r>
      <w:r>
        <w:rPr>
          <w:sz w:val="24"/>
          <w:szCs w:val="24"/>
        </w:rPr>
        <w:t>Volk befand sich zu der damaligen Zeit bereits drei Wochen lang in Prag.“</w:t>
      </w:r>
      <w:r>
        <w:rPr>
          <w:rStyle w:val="Funotenzeichen"/>
          <w:sz w:val="24"/>
          <w:szCs w:val="24"/>
        </w:rPr>
        <w:footnoteReference w:id="35"/>
      </w:r>
    </w:p>
    <w:p w:rsidR="00EA13D2" w:rsidRDefault="002A3ACE" w:rsidP="00A046FA">
      <w:pPr>
        <w:spacing w:after="0"/>
        <w:jc w:val="both"/>
        <w:rPr>
          <w:sz w:val="24"/>
          <w:szCs w:val="24"/>
        </w:rPr>
      </w:pPr>
      <w:r>
        <w:rPr>
          <w:sz w:val="24"/>
          <w:szCs w:val="24"/>
        </w:rPr>
        <w:t xml:space="preserve">Zuletzt spricht </w:t>
      </w:r>
      <w:proofErr w:type="spellStart"/>
      <w:r>
        <w:rPr>
          <w:sz w:val="24"/>
          <w:szCs w:val="24"/>
        </w:rPr>
        <w:t>Ottwalt</w:t>
      </w:r>
      <w:proofErr w:type="spellEnd"/>
      <w:r>
        <w:rPr>
          <w:sz w:val="24"/>
          <w:szCs w:val="24"/>
        </w:rPr>
        <w:t xml:space="preserve"> nur noch von jener „berüchtigten Pension“,</w:t>
      </w:r>
      <w:r>
        <w:rPr>
          <w:rStyle w:val="Funotenzeichen"/>
          <w:sz w:val="24"/>
          <w:szCs w:val="24"/>
        </w:rPr>
        <w:footnoteReference w:id="36"/>
      </w:r>
      <w:r w:rsidR="0083240E">
        <w:rPr>
          <w:sz w:val="24"/>
          <w:szCs w:val="24"/>
        </w:rPr>
        <w:t xml:space="preserve"> in der Carola Neher in Prag </w:t>
      </w:r>
      <w:r w:rsidR="0083240E">
        <w:rPr>
          <w:i/>
          <w:sz w:val="24"/>
          <w:szCs w:val="24"/>
        </w:rPr>
        <w:t>gleichzeitig</w:t>
      </w:r>
      <w:r w:rsidR="0083240E">
        <w:rPr>
          <w:sz w:val="24"/>
          <w:szCs w:val="24"/>
        </w:rPr>
        <w:t xml:space="preserve"> mit Erich </w:t>
      </w:r>
      <w:proofErr w:type="spellStart"/>
      <w:r w:rsidR="0083240E">
        <w:rPr>
          <w:sz w:val="24"/>
          <w:szCs w:val="24"/>
        </w:rPr>
        <w:t>Wollenberg</w:t>
      </w:r>
      <w:proofErr w:type="spellEnd"/>
      <w:r w:rsidR="00B80DDD">
        <w:rPr>
          <w:rStyle w:val="Funotenzeichen"/>
          <w:sz w:val="24"/>
          <w:szCs w:val="24"/>
        </w:rPr>
        <w:footnoteReference w:id="37"/>
      </w:r>
      <w:r w:rsidR="0083240E">
        <w:rPr>
          <w:sz w:val="24"/>
          <w:szCs w:val="24"/>
        </w:rPr>
        <w:t xml:space="preserve"> logiert habe. Dass derartige </w:t>
      </w:r>
      <w:proofErr w:type="spellStart"/>
      <w:r w:rsidR="0083240E">
        <w:rPr>
          <w:sz w:val="24"/>
          <w:szCs w:val="24"/>
        </w:rPr>
        <w:t>Koinzidenzien</w:t>
      </w:r>
      <w:proofErr w:type="spellEnd"/>
      <w:r w:rsidR="0083240E">
        <w:rPr>
          <w:sz w:val="24"/>
          <w:szCs w:val="24"/>
        </w:rPr>
        <w:t xml:space="preserve"> aufgrund der Exilsituation in Wirklichkeit mehr oder weniger unausweichlich sind, spielt in dieser A</w:t>
      </w:r>
      <w:r w:rsidR="0083240E">
        <w:rPr>
          <w:sz w:val="24"/>
          <w:szCs w:val="24"/>
        </w:rPr>
        <w:t>r</w:t>
      </w:r>
      <w:r w:rsidR="0083240E">
        <w:rPr>
          <w:sz w:val="24"/>
          <w:szCs w:val="24"/>
        </w:rPr>
        <w:t>gumentati</w:t>
      </w:r>
      <w:r w:rsidR="00AD64B3">
        <w:rPr>
          <w:sz w:val="24"/>
          <w:szCs w:val="24"/>
        </w:rPr>
        <w:t>o</w:t>
      </w:r>
      <w:r w:rsidR="0083240E">
        <w:rPr>
          <w:sz w:val="24"/>
          <w:szCs w:val="24"/>
        </w:rPr>
        <w:t>n keine Rolle. Besonders deutlich tut sich bei dieser abstrusen Argumentation B</w:t>
      </w:r>
      <w:r w:rsidR="0083240E">
        <w:rPr>
          <w:sz w:val="24"/>
          <w:szCs w:val="24"/>
        </w:rPr>
        <w:t>e</w:t>
      </w:r>
      <w:r w:rsidR="0083240E">
        <w:rPr>
          <w:sz w:val="24"/>
          <w:szCs w:val="24"/>
        </w:rPr>
        <w:t>cher hervor:</w:t>
      </w:r>
    </w:p>
    <w:p w:rsidR="0083240E" w:rsidRPr="0083240E" w:rsidRDefault="0083240E" w:rsidP="00A046FA">
      <w:pPr>
        <w:spacing w:after="0"/>
        <w:ind w:left="1134"/>
        <w:jc w:val="both"/>
        <w:rPr>
          <w:sz w:val="24"/>
          <w:szCs w:val="24"/>
        </w:rPr>
      </w:pPr>
      <w:r>
        <w:rPr>
          <w:sz w:val="24"/>
          <w:szCs w:val="24"/>
        </w:rPr>
        <w:t xml:space="preserve">„Als ich in Zürich ankam, wurde ich von </w:t>
      </w:r>
      <w:r w:rsidR="001D53E7">
        <w:rPr>
          <w:sz w:val="24"/>
          <w:szCs w:val="24"/>
        </w:rPr>
        <w:t xml:space="preserve">[Kurt] </w:t>
      </w:r>
      <w:proofErr w:type="spellStart"/>
      <w:r>
        <w:rPr>
          <w:sz w:val="24"/>
          <w:szCs w:val="24"/>
        </w:rPr>
        <w:t>Kläber</w:t>
      </w:r>
      <w:proofErr w:type="spellEnd"/>
      <w:r>
        <w:rPr>
          <w:sz w:val="24"/>
          <w:szCs w:val="24"/>
        </w:rPr>
        <w:t xml:space="preserve"> abgeholt und ins Resta</w:t>
      </w:r>
      <w:r>
        <w:rPr>
          <w:sz w:val="24"/>
          <w:szCs w:val="24"/>
        </w:rPr>
        <w:t>u</w:t>
      </w:r>
      <w:r>
        <w:rPr>
          <w:sz w:val="24"/>
          <w:szCs w:val="24"/>
        </w:rPr>
        <w:t xml:space="preserve">rant gegenüber geführt, und dort saßen Lex [Ende] und </w:t>
      </w:r>
      <w:r w:rsidR="001D53E7">
        <w:rPr>
          <w:sz w:val="24"/>
          <w:szCs w:val="24"/>
        </w:rPr>
        <w:t xml:space="preserve">[Rudolf] </w:t>
      </w:r>
      <w:r>
        <w:rPr>
          <w:sz w:val="24"/>
          <w:szCs w:val="24"/>
        </w:rPr>
        <w:t xml:space="preserve">Kern. Als ich die beiden sitzen sah, kam das Gespräch auf </w:t>
      </w:r>
      <w:r w:rsidR="001D53E7">
        <w:rPr>
          <w:sz w:val="24"/>
          <w:szCs w:val="24"/>
        </w:rPr>
        <w:t xml:space="preserve">[Paul] </w:t>
      </w:r>
      <w:proofErr w:type="spellStart"/>
      <w:r>
        <w:rPr>
          <w:sz w:val="24"/>
          <w:szCs w:val="24"/>
        </w:rPr>
        <w:t>Baudisch</w:t>
      </w:r>
      <w:proofErr w:type="spellEnd"/>
      <w:r>
        <w:rPr>
          <w:sz w:val="24"/>
          <w:szCs w:val="24"/>
        </w:rPr>
        <w:t xml:space="preserve">. Sie sagten, </w:t>
      </w:r>
      <w:proofErr w:type="spellStart"/>
      <w:r>
        <w:rPr>
          <w:sz w:val="24"/>
          <w:szCs w:val="24"/>
        </w:rPr>
        <w:t>Baudisch</w:t>
      </w:r>
      <w:proofErr w:type="spellEnd"/>
      <w:r>
        <w:rPr>
          <w:sz w:val="24"/>
          <w:szCs w:val="24"/>
        </w:rPr>
        <w:t xml:space="preserve"> ist in Wien, und dann fragte ich, was macht Volk? […] Am übernächsten Tage, als ich am Züricher See </w:t>
      </w:r>
      <w:proofErr w:type="spellStart"/>
      <w:r>
        <w:rPr>
          <w:sz w:val="24"/>
          <w:szCs w:val="24"/>
        </w:rPr>
        <w:t>spazierenging</w:t>
      </w:r>
      <w:proofErr w:type="spellEnd"/>
      <w:r>
        <w:rPr>
          <w:sz w:val="24"/>
          <w:szCs w:val="24"/>
        </w:rPr>
        <w:t xml:space="preserve"> und das Kino aus war, kam breit und behäbig Karl Volk aus dem Kino heraus. </w:t>
      </w:r>
      <w:r>
        <w:rPr>
          <w:i/>
          <w:sz w:val="24"/>
          <w:szCs w:val="24"/>
        </w:rPr>
        <w:t>Sofort kombinierte ich,</w:t>
      </w:r>
      <w:r>
        <w:rPr>
          <w:sz w:val="24"/>
          <w:szCs w:val="24"/>
        </w:rPr>
        <w:t xml:space="preserve"> </w:t>
      </w:r>
      <w:proofErr w:type="spellStart"/>
      <w:r>
        <w:rPr>
          <w:sz w:val="24"/>
          <w:szCs w:val="24"/>
        </w:rPr>
        <w:t>daß</w:t>
      </w:r>
      <w:proofErr w:type="spellEnd"/>
      <w:r>
        <w:rPr>
          <w:sz w:val="24"/>
          <w:szCs w:val="24"/>
        </w:rPr>
        <w:t xml:space="preserve"> die beiden von Volks Anwesenheit wissen und mir das nicht gesagt haben, das bedeutet etw</w:t>
      </w:r>
      <w:r w:rsidR="001D53E7">
        <w:rPr>
          <w:sz w:val="24"/>
          <w:szCs w:val="24"/>
        </w:rPr>
        <w:t>a</w:t>
      </w:r>
      <w:r>
        <w:rPr>
          <w:sz w:val="24"/>
          <w:szCs w:val="24"/>
        </w:rPr>
        <w:t>s.“</w:t>
      </w:r>
      <w:r w:rsidR="001D53E7">
        <w:rPr>
          <w:rStyle w:val="Funotenzeichen"/>
          <w:sz w:val="24"/>
          <w:szCs w:val="24"/>
        </w:rPr>
        <w:footnoteReference w:id="38"/>
      </w:r>
      <w:r>
        <w:rPr>
          <w:sz w:val="24"/>
          <w:szCs w:val="24"/>
        </w:rPr>
        <w:t xml:space="preserve"> </w:t>
      </w:r>
    </w:p>
    <w:p w:rsidR="00EA13D2" w:rsidRPr="001D53E7" w:rsidRDefault="001D53E7" w:rsidP="00A046FA">
      <w:pPr>
        <w:spacing w:after="0"/>
        <w:jc w:val="both"/>
        <w:rPr>
          <w:sz w:val="24"/>
          <w:szCs w:val="24"/>
        </w:rPr>
      </w:pPr>
      <w:r>
        <w:rPr>
          <w:sz w:val="24"/>
          <w:szCs w:val="24"/>
        </w:rPr>
        <w:t>Aus dem Geflecht von ehemaligen Gruppen- und Fraktionszugehörigkeiten, zufälligen bzw. – aufgrund der Exilsituation – zwangsläufigen Begegnungen entsteht auf diese Weise ein beli</w:t>
      </w:r>
      <w:r>
        <w:rPr>
          <w:sz w:val="24"/>
          <w:szCs w:val="24"/>
        </w:rPr>
        <w:t>e</w:t>
      </w:r>
      <w:r>
        <w:rPr>
          <w:sz w:val="24"/>
          <w:szCs w:val="24"/>
        </w:rPr>
        <w:t xml:space="preserve">big erweiterbares System angeblich konspirativer „parteifeindlicher Verbindungen“. Eines speziellen Anlasses, als „Parteifeind“ verdächtig zu sein, bedarf es unter diesen Umständen nicht: Schon das bloße Faktum, </w:t>
      </w:r>
      <w:r>
        <w:rPr>
          <w:i/>
          <w:sz w:val="24"/>
          <w:szCs w:val="24"/>
        </w:rPr>
        <w:t>dass</w:t>
      </w:r>
      <w:r>
        <w:rPr>
          <w:sz w:val="24"/>
          <w:szCs w:val="24"/>
        </w:rPr>
        <w:t xml:space="preserve"> jemand an solchen Treffen teilgenommen hat, stellt e</w:t>
      </w:r>
      <w:r>
        <w:rPr>
          <w:sz w:val="24"/>
          <w:szCs w:val="24"/>
        </w:rPr>
        <w:t>i</w:t>
      </w:r>
      <w:r>
        <w:rPr>
          <w:sz w:val="24"/>
          <w:szCs w:val="24"/>
        </w:rPr>
        <w:t>nen „schweren politischen Fehler“ dar.</w:t>
      </w:r>
    </w:p>
    <w:p w:rsidR="00026431" w:rsidRPr="00026431" w:rsidRDefault="00026431" w:rsidP="00A046FA">
      <w:pPr>
        <w:spacing w:after="0"/>
        <w:jc w:val="both"/>
        <w:rPr>
          <w:sz w:val="24"/>
          <w:szCs w:val="24"/>
        </w:rPr>
      </w:pPr>
    </w:p>
    <w:p w:rsidR="00026431" w:rsidRDefault="008A5511" w:rsidP="00A046FA">
      <w:pPr>
        <w:spacing w:after="0"/>
        <w:jc w:val="both"/>
        <w:rPr>
          <w:sz w:val="24"/>
          <w:szCs w:val="24"/>
        </w:rPr>
      </w:pPr>
      <w:r>
        <w:rPr>
          <w:sz w:val="24"/>
          <w:szCs w:val="24"/>
        </w:rPr>
        <w:tab/>
        <w:t>Für das Verständnis der Exilliteratur hat das Protokoll der „geschlossenen Parteive</w:t>
      </w:r>
      <w:r>
        <w:rPr>
          <w:sz w:val="24"/>
          <w:szCs w:val="24"/>
        </w:rPr>
        <w:t>r</w:t>
      </w:r>
      <w:r>
        <w:rPr>
          <w:sz w:val="24"/>
          <w:szCs w:val="24"/>
        </w:rPr>
        <w:t xml:space="preserve">sammlung“ eine kaum zu unterschätzende Bedeutung. </w:t>
      </w:r>
      <w:r w:rsidR="00B80DDD">
        <w:rPr>
          <w:sz w:val="24"/>
          <w:szCs w:val="24"/>
        </w:rPr>
        <w:t>An erster Stelle</w:t>
      </w:r>
      <w:r>
        <w:rPr>
          <w:sz w:val="24"/>
          <w:szCs w:val="24"/>
        </w:rPr>
        <w:t xml:space="preserve"> lenkt es den Blick auf die stalinistischen „Säuberungen“, ihre Prozeduren und ihre Opfer. Ebenso wichtig ist jedoch, </w:t>
      </w:r>
      <w:r w:rsidR="0064659D">
        <w:rPr>
          <w:sz w:val="24"/>
          <w:szCs w:val="24"/>
        </w:rPr>
        <w:t>dass sich hier die Trennlinien zwischen den „Opfern“ und den „Tätern“ verwischen. Natürlich stehen hinter den Verfolgungen die – immer wieder im Protokoll apostrophierten – sowjet</w:t>
      </w:r>
      <w:r w:rsidR="0064659D">
        <w:rPr>
          <w:sz w:val="24"/>
          <w:szCs w:val="24"/>
        </w:rPr>
        <w:t>i</w:t>
      </w:r>
      <w:r w:rsidR="0064659D">
        <w:rPr>
          <w:sz w:val="24"/>
          <w:szCs w:val="24"/>
        </w:rPr>
        <w:t>schen „Instanzen“,</w:t>
      </w:r>
      <w:r w:rsidR="0064659D">
        <w:rPr>
          <w:rStyle w:val="Funotenzeichen"/>
          <w:sz w:val="24"/>
          <w:szCs w:val="24"/>
        </w:rPr>
        <w:footnoteReference w:id="39"/>
      </w:r>
      <w:r w:rsidR="0064659D">
        <w:rPr>
          <w:sz w:val="24"/>
          <w:szCs w:val="24"/>
        </w:rPr>
        <w:t xml:space="preserve"> eine geheimnisvolle, sakrosankte, nicht hinterfragte Autorität. </w:t>
      </w:r>
      <w:r w:rsidR="00AB4D74">
        <w:rPr>
          <w:sz w:val="24"/>
          <w:szCs w:val="24"/>
        </w:rPr>
        <w:t xml:space="preserve">Beteiligt an dem Prozess der Denunziation sind jedoch auch die von der Verfolgung Betroffenen, die Opfer. Ihre Angaben, Auskünfte und Beschuldigungen dienen der Sanktionierung. </w:t>
      </w:r>
      <w:r w:rsidR="00B80DDD">
        <w:rPr>
          <w:sz w:val="24"/>
          <w:szCs w:val="24"/>
        </w:rPr>
        <w:t>Diese Sachverhalte konnten Außenstehenden nur für eine vergleichsweise kurze Zeitspanne verbo</w:t>
      </w:r>
      <w:r w:rsidR="00B80DDD">
        <w:rPr>
          <w:sz w:val="24"/>
          <w:szCs w:val="24"/>
        </w:rPr>
        <w:t>r</w:t>
      </w:r>
      <w:r w:rsidR="00B80DDD">
        <w:rPr>
          <w:sz w:val="24"/>
          <w:szCs w:val="24"/>
        </w:rPr>
        <w:t xml:space="preserve">gen bleiben. Als einzelne Häftlinge – meist unter Druck </w:t>
      </w:r>
      <w:r w:rsidR="001B7CF9">
        <w:rPr>
          <w:sz w:val="24"/>
          <w:szCs w:val="24"/>
        </w:rPr>
        <w:t xml:space="preserve">prominenter ausländischer Freunde </w:t>
      </w:r>
      <w:r w:rsidR="00B80DDD">
        <w:rPr>
          <w:sz w:val="24"/>
          <w:szCs w:val="24"/>
        </w:rPr>
        <w:t>– in Freiheit gelangen und die Sowjetunion verlassen k</w:t>
      </w:r>
      <w:r w:rsidR="001B7CF9">
        <w:rPr>
          <w:sz w:val="24"/>
          <w:szCs w:val="24"/>
        </w:rPr>
        <w:t>ö</w:t>
      </w:r>
      <w:r w:rsidR="00B80DDD">
        <w:rPr>
          <w:sz w:val="24"/>
          <w:szCs w:val="24"/>
        </w:rPr>
        <w:t>nnen, tr</w:t>
      </w:r>
      <w:r w:rsidR="001B7CF9">
        <w:rPr>
          <w:sz w:val="24"/>
          <w:szCs w:val="24"/>
        </w:rPr>
        <w:t>e</w:t>
      </w:r>
      <w:r w:rsidR="00B80DDD">
        <w:rPr>
          <w:sz w:val="24"/>
          <w:szCs w:val="24"/>
        </w:rPr>
        <w:t xml:space="preserve">ten diese Sachverhalte </w:t>
      </w:r>
      <w:r w:rsidR="002F5F40">
        <w:rPr>
          <w:sz w:val="24"/>
          <w:szCs w:val="24"/>
        </w:rPr>
        <w:t xml:space="preserve">mehr oder minder </w:t>
      </w:r>
      <w:r w:rsidR="00B80DDD">
        <w:rPr>
          <w:sz w:val="24"/>
          <w:szCs w:val="24"/>
        </w:rPr>
        <w:t xml:space="preserve">offen zutage. </w:t>
      </w:r>
      <w:r w:rsidR="00136596">
        <w:rPr>
          <w:sz w:val="24"/>
          <w:szCs w:val="24"/>
        </w:rPr>
        <w:t xml:space="preserve">Die Folge </w:t>
      </w:r>
      <w:r w:rsidR="001B7CF9">
        <w:rPr>
          <w:sz w:val="24"/>
          <w:szCs w:val="24"/>
        </w:rPr>
        <w:t>war</w:t>
      </w:r>
      <w:r w:rsidR="00136596">
        <w:rPr>
          <w:sz w:val="24"/>
          <w:szCs w:val="24"/>
        </w:rPr>
        <w:t xml:space="preserve">, dass </w:t>
      </w:r>
      <w:r w:rsidR="00B80DDD">
        <w:rPr>
          <w:sz w:val="24"/>
          <w:szCs w:val="24"/>
        </w:rPr>
        <w:t>zunächst einzelne</w:t>
      </w:r>
      <w:r w:rsidR="00136596">
        <w:rPr>
          <w:sz w:val="24"/>
          <w:szCs w:val="24"/>
        </w:rPr>
        <w:t xml:space="preserve"> nichtkommunistische Exi</w:t>
      </w:r>
      <w:r w:rsidR="00136596">
        <w:rPr>
          <w:sz w:val="24"/>
          <w:szCs w:val="24"/>
        </w:rPr>
        <w:t>l</w:t>
      </w:r>
      <w:r w:rsidR="00136596">
        <w:rPr>
          <w:sz w:val="24"/>
          <w:szCs w:val="24"/>
        </w:rPr>
        <w:t>schriftsteller</w:t>
      </w:r>
      <w:r w:rsidR="00B80DDD">
        <w:rPr>
          <w:sz w:val="24"/>
          <w:szCs w:val="24"/>
        </w:rPr>
        <w:t>, dann eine immer anwachsende Gruppe</w:t>
      </w:r>
      <w:r w:rsidR="00136596">
        <w:rPr>
          <w:sz w:val="24"/>
          <w:szCs w:val="24"/>
        </w:rPr>
        <w:t xml:space="preserve"> die politische Glaubwürdigkeit ihrer kommunistischen Kollegen grundsätzlich in Zweifel </w:t>
      </w:r>
      <w:r w:rsidR="00B80DDD">
        <w:rPr>
          <w:sz w:val="24"/>
          <w:szCs w:val="24"/>
        </w:rPr>
        <w:t>z</w:t>
      </w:r>
      <w:r w:rsidR="001B7CF9">
        <w:rPr>
          <w:sz w:val="24"/>
          <w:szCs w:val="24"/>
        </w:rPr>
        <w:t>ogen</w:t>
      </w:r>
      <w:r w:rsidR="00136596">
        <w:rPr>
          <w:sz w:val="24"/>
          <w:szCs w:val="24"/>
        </w:rPr>
        <w:t>. Da</w:t>
      </w:r>
      <w:r w:rsidR="00B80DDD">
        <w:rPr>
          <w:sz w:val="24"/>
          <w:szCs w:val="24"/>
        </w:rPr>
        <w:t xml:space="preserve">mit bildete sich eine Trennlinie innerhalb des politischen Exils, die allmählich immer größer </w:t>
      </w:r>
      <w:r w:rsidR="002F5F40">
        <w:rPr>
          <w:sz w:val="24"/>
          <w:szCs w:val="24"/>
        </w:rPr>
        <w:t xml:space="preserve">und folgenreicher </w:t>
      </w:r>
      <w:r w:rsidR="00B80DDD">
        <w:rPr>
          <w:sz w:val="24"/>
          <w:szCs w:val="24"/>
        </w:rPr>
        <w:t xml:space="preserve">wurde und nicht nur die persönliche Glaubwürdigkeit </w:t>
      </w:r>
      <w:r w:rsidR="002F5F40">
        <w:rPr>
          <w:sz w:val="24"/>
          <w:szCs w:val="24"/>
        </w:rPr>
        <w:t xml:space="preserve">der KPD-Schriftsteller in Frage stellte, sondern auch die Glaubwürdigkeit </w:t>
      </w:r>
      <w:r w:rsidR="00136596">
        <w:rPr>
          <w:sz w:val="24"/>
          <w:szCs w:val="24"/>
        </w:rPr>
        <w:t>ihr</w:t>
      </w:r>
      <w:r w:rsidR="002F5F40">
        <w:rPr>
          <w:sz w:val="24"/>
          <w:szCs w:val="24"/>
        </w:rPr>
        <w:t>er</w:t>
      </w:r>
      <w:r w:rsidR="00136596">
        <w:rPr>
          <w:sz w:val="24"/>
          <w:szCs w:val="24"/>
        </w:rPr>
        <w:t xml:space="preserve"> literarische</w:t>
      </w:r>
      <w:r w:rsidR="002F5F40">
        <w:rPr>
          <w:sz w:val="24"/>
          <w:szCs w:val="24"/>
        </w:rPr>
        <w:t>n Äußerungen</w:t>
      </w:r>
      <w:r w:rsidR="00136596">
        <w:rPr>
          <w:sz w:val="24"/>
          <w:szCs w:val="24"/>
        </w:rPr>
        <w:t xml:space="preserve">. </w:t>
      </w:r>
      <w:r w:rsidR="002F5F40">
        <w:rPr>
          <w:sz w:val="24"/>
          <w:szCs w:val="24"/>
        </w:rPr>
        <w:t>Hier bildete sich einer von zahlre</w:t>
      </w:r>
      <w:r w:rsidR="002F5F40">
        <w:rPr>
          <w:sz w:val="24"/>
          <w:szCs w:val="24"/>
        </w:rPr>
        <w:t>i</w:t>
      </w:r>
      <w:r w:rsidR="002F5F40">
        <w:rPr>
          <w:sz w:val="24"/>
          <w:szCs w:val="24"/>
        </w:rPr>
        <w:t xml:space="preserve">chen Brüchen innerhalb der „Emigrantenliteratur“. </w:t>
      </w:r>
    </w:p>
    <w:bookmarkEnd w:id="0"/>
    <w:p w:rsidR="00AB4D74" w:rsidRPr="00026431" w:rsidRDefault="00AB4D74" w:rsidP="00A046FA">
      <w:pPr>
        <w:spacing w:after="0"/>
        <w:jc w:val="both"/>
        <w:rPr>
          <w:sz w:val="24"/>
          <w:szCs w:val="24"/>
        </w:rPr>
      </w:pPr>
    </w:p>
    <w:sectPr w:rsidR="00AB4D74" w:rsidRPr="00026431" w:rsidSect="0073103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D6" w:rsidRDefault="00E330D6" w:rsidP="00497940">
      <w:pPr>
        <w:spacing w:after="0" w:line="240" w:lineRule="auto"/>
      </w:pPr>
      <w:r>
        <w:separator/>
      </w:r>
    </w:p>
  </w:endnote>
  <w:endnote w:type="continuationSeparator" w:id="0">
    <w:p w:rsidR="00E330D6" w:rsidRDefault="00E330D6" w:rsidP="0049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D6" w:rsidRDefault="00E330D6" w:rsidP="00497940">
      <w:pPr>
        <w:spacing w:after="0" w:line="240" w:lineRule="auto"/>
      </w:pPr>
      <w:r>
        <w:separator/>
      </w:r>
    </w:p>
  </w:footnote>
  <w:footnote w:type="continuationSeparator" w:id="0">
    <w:p w:rsidR="00E330D6" w:rsidRDefault="00E330D6" w:rsidP="00497940">
      <w:pPr>
        <w:spacing w:after="0" w:line="240" w:lineRule="auto"/>
      </w:pPr>
      <w:r>
        <w:continuationSeparator/>
      </w:r>
    </w:p>
  </w:footnote>
  <w:footnote w:id="1">
    <w:p w:rsidR="00142DBB" w:rsidRPr="00BE396D" w:rsidRDefault="00142DBB" w:rsidP="004D41E3">
      <w:pPr>
        <w:pStyle w:val="Funotentext"/>
      </w:pPr>
      <w:r>
        <w:rPr>
          <w:rStyle w:val="Funotenzeichen"/>
        </w:rPr>
        <w:footnoteRef/>
      </w:r>
      <w:r>
        <w:t xml:space="preserve"> Vgl. Ludolf Herbst: </w:t>
      </w:r>
      <w:r>
        <w:rPr>
          <w:i/>
        </w:rPr>
        <w:t>Das nationalsozialistische Deutschland</w:t>
      </w:r>
      <w:r>
        <w:t>, a.a.O., S. 163.</w:t>
      </w:r>
    </w:p>
  </w:footnote>
  <w:footnote w:id="2">
    <w:p w:rsidR="00142DBB" w:rsidRPr="00F606AB" w:rsidRDefault="00142DBB">
      <w:pPr>
        <w:pStyle w:val="Funotentext"/>
      </w:pPr>
      <w:r>
        <w:rPr>
          <w:rStyle w:val="Funotenzeichen"/>
        </w:rPr>
        <w:footnoteRef/>
      </w:r>
      <w:r>
        <w:t xml:space="preserve"> Babette Gross: </w:t>
      </w:r>
      <w:r>
        <w:rPr>
          <w:i/>
        </w:rPr>
        <w:t>Willi Münzenberg</w:t>
      </w:r>
      <w:r>
        <w:t>, a.a.O., S. 420.</w:t>
      </w:r>
    </w:p>
  </w:footnote>
  <w:footnote w:id="3">
    <w:p w:rsidR="00142DBB" w:rsidRPr="00E954AF" w:rsidRDefault="00142DBB">
      <w:pPr>
        <w:pStyle w:val="Funotentext"/>
      </w:pPr>
      <w:r>
        <w:rPr>
          <w:rStyle w:val="Funotenzeichen"/>
        </w:rPr>
        <w:footnoteRef/>
      </w:r>
      <w:r>
        <w:t xml:space="preserve"> Das betrifft z.B. die Arbeit von David Pike: </w:t>
      </w:r>
      <w:r>
        <w:rPr>
          <w:i/>
        </w:rPr>
        <w:t>Deutsche Schriftsteller im sowjetischen Exil 1933 – 1945.</w:t>
      </w:r>
      <w:r>
        <w:t xml:space="preserve"> Fran</w:t>
      </w:r>
      <w:r>
        <w:t>k</w:t>
      </w:r>
      <w:r>
        <w:t xml:space="preserve">furt a.M. 1981; das Sowjetunion-Kapitel in Bd. 2: </w:t>
      </w:r>
      <w:r>
        <w:rPr>
          <w:i/>
        </w:rPr>
        <w:t>Europäisches Appeasement und überseeische Asylpraxis,</w:t>
      </w:r>
      <w:r>
        <w:t xml:space="preserve"> in Hans-Alber Walters Überblicksdarstellung </w:t>
      </w:r>
      <w:r>
        <w:rPr>
          <w:i/>
        </w:rPr>
        <w:t>Deutsche Exilliteratur 1933 – 1950</w:t>
      </w:r>
      <w:r>
        <w:t xml:space="preserve"> (Stuttgart 1984) sowie die Kon</w:t>
      </w:r>
      <w:r>
        <w:t>t</w:t>
      </w:r>
      <w:r>
        <w:t xml:space="preserve">roverse um Julius Hays Drama </w:t>
      </w:r>
      <w:proofErr w:type="spellStart"/>
      <w:r>
        <w:rPr>
          <w:i/>
        </w:rPr>
        <w:t>Tanjka</w:t>
      </w:r>
      <w:proofErr w:type="spellEnd"/>
      <w:r>
        <w:rPr>
          <w:i/>
        </w:rPr>
        <w:t xml:space="preserve"> macht die Augen auf</w:t>
      </w:r>
      <w:r>
        <w:t xml:space="preserve"> (vgl. Franz Norbert </w:t>
      </w:r>
      <w:proofErr w:type="spellStart"/>
      <w:r>
        <w:t>Mennemeier</w:t>
      </w:r>
      <w:proofErr w:type="spellEnd"/>
      <w:r>
        <w:t xml:space="preserve">/Frithjof Trapp: </w:t>
      </w:r>
      <w:r>
        <w:rPr>
          <w:i/>
        </w:rPr>
        <w:t>Deutsche Exildramatik 1933 – 1950</w:t>
      </w:r>
      <w:r>
        <w:t xml:space="preserve">. München 1980, S. 309, Mitteilung von Eva Hay. – Ähnliche Kontroversen, jedoch aus gegenteiliger Sicht, löste der von Klaus </w:t>
      </w:r>
      <w:proofErr w:type="spellStart"/>
      <w:r>
        <w:t>Jarmatz</w:t>
      </w:r>
      <w:proofErr w:type="spellEnd"/>
      <w:r>
        <w:t xml:space="preserve">, Simone </w:t>
      </w:r>
      <w:proofErr w:type="spellStart"/>
      <w:r>
        <w:t>Barck</w:t>
      </w:r>
      <w:proofErr w:type="spellEnd"/>
      <w:r>
        <w:t xml:space="preserve"> und Peter </w:t>
      </w:r>
      <w:proofErr w:type="spellStart"/>
      <w:r>
        <w:t>Diezel</w:t>
      </w:r>
      <w:proofErr w:type="spellEnd"/>
      <w:r>
        <w:t xml:space="preserve"> erarbeitete Bd. 1: </w:t>
      </w:r>
      <w:r>
        <w:rPr>
          <w:i/>
        </w:rPr>
        <w:t xml:space="preserve">Exil in der UDSSR </w:t>
      </w:r>
      <w:r>
        <w:t>(Berlin/DDR 1979),</w:t>
      </w:r>
      <w:r>
        <w:rPr>
          <w:i/>
        </w:rPr>
        <w:t xml:space="preserve"> </w:t>
      </w:r>
      <w:r>
        <w:t xml:space="preserve">der insgesamt 6 Bände umfassenden Reihe </w:t>
      </w:r>
      <w:r>
        <w:rPr>
          <w:i/>
        </w:rPr>
        <w:t>Kunst und Literatur im ant</w:t>
      </w:r>
      <w:r>
        <w:rPr>
          <w:i/>
        </w:rPr>
        <w:t>i</w:t>
      </w:r>
      <w:r>
        <w:rPr>
          <w:i/>
        </w:rPr>
        <w:t>faschistischen Exil 1933 – 1945</w:t>
      </w:r>
      <w:r>
        <w:t xml:space="preserve"> aus. – Einen Eindruck, wie sich der Terror in einer Provinzstadt auswirkte, ve</w:t>
      </w:r>
      <w:r>
        <w:t>r</w:t>
      </w:r>
      <w:r>
        <w:t xml:space="preserve">mittelt die Studie von Alexander </w:t>
      </w:r>
      <w:proofErr w:type="spellStart"/>
      <w:r>
        <w:t>Vatlin</w:t>
      </w:r>
      <w:proofErr w:type="spellEnd"/>
      <w:r>
        <w:t xml:space="preserve">: </w:t>
      </w:r>
      <w:r>
        <w:rPr>
          <w:i/>
        </w:rPr>
        <w:t xml:space="preserve">Tatort </w:t>
      </w:r>
      <w:proofErr w:type="spellStart"/>
      <w:r>
        <w:rPr>
          <w:i/>
        </w:rPr>
        <w:t>Kunzewo</w:t>
      </w:r>
      <w:proofErr w:type="spellEnd"/>
      <w:r>
        <w:rPr>
          <w:i/>
        </w:rPr>
        <w:t>.</w:t>
      </w:r>
      <w:r>
        <w:t xml:space="preserve"> Opfer und Täter des </w:t>
      </w:r>
      <w:proofErr w:type="spellStart"/>
      <w:r>
        <w:t>Stalinschen</w:t>
      </w:r>
      <w:proofErr w:type="spellEnd"/>
      <w:r>
        <w:t xml:space="preserve"> </w:t>
      </w:r>
      <w:proofErr w:type="spellStart"/>
      <w:r>
        <w:t>Terros</w:t>
      </w:r>
      <w:proofErr w:type="spellEnd"/>
      <w:r>
        <w:t xml:space="preserve"> 1937/38. Be</w:t>
      </w:r>
      <w:r>
        <w:t>r</w:t>
      </w:r>
      <w:r>
        <w:t>lin 2003.</w:t>
      </w:r>
    </w:p>
  </w:footnote>
  <w:footnote w:id="4">
    <w:p w:rsidR="00142DBB" w:rsidRDefault="00142DBB">
      <w:pPr>
        <w:pStyle w:val="Funotentext"/>
      </w:pPr>
      <w:r>
        <w:rPr>
          <w:rStyle w:val="Funotenzeichen"/>
        </w:rPr>
        <w:footnoteRef/>
      </w:r>
      <w:r>
        <w:t xml:space="preserve"> Die „Deutsche Kommission“ war der Zusammenschluss aller deutschsprachigen Schriftsteller innerhalb des sowjetischen Schriftstellerverbandes.</w:t>
      </w:r>
      <w:r w:rsidRPr="008F5B21">
        <w:t xml:space="preserve"> </w:t>
      </w:r>
      <w:r>
        <w:t xml:space="preserve">– Die hier folgenden Ausführungen stützen sich auf meine Rezension: </w:t>
      </w:r>
      <w:r>
        <w:rPr>
          <w:spacing w:val="-3"/>
          <w:szCs w:val="24"/>
        </w:rPr>
        <w:t>Moskau: September 1936. Das „revolutionäre Gesicht“ des Moskauer Schriftstellerexils [</w:t>
      </w:r>
      <w:proofErr w:type="spellStart"/>
      <w:r>
        <w:rPr>
          <w:spacing w:val="-3"/>
          <w:szCs w:val="24"/>
        </w:rPr>
        <w:t>Rez</w:t>
      </w:r>
      <w:proofErr w:type="spellEnd"/>
      <w:r>
        <w:rPr>
          <w:spacing w:val="-3"/>
          <w:szCs w:val="24"/>
        </w:rPr>
        <w:t xml:space="preserve">. von Georg Lukács u.a.: </w:t>
      </w:r>
      <w:r w:rsidRPr="00D67E94">
        <w:rPr>
          <w:i/>
          <w:spacing w:val="-3"/>
          <w:szCs w:val="24"/>
        </w:rPr>
        <w:t>Die Säuberung</w:t>
      </w:r>
      <w:r>
        <w:rPr>
          <w:spacing w:val="-3"/>
          <w:szCs w:val="24"/>
        </w:rPr>
        <w:t xml:space="preserve">. Hrsg. von Reinhard Müller. Reinbek: Rowohlt 1991]. In: </w:t>
      </w:r>
      <w:r>
        <w:rPr>
          <w:i/>
          <w:spacing w:val="-3"/>
          <w:szCs w:val="24"/>
        </w:rPr>
        <w:t>Exil</w:t>
      </w:r>
      <w:r>
        <w:rPr>
          <w:spacing w:val="-3"/>
          <w:szCs w:val="24"/>
        </w:rPr>
        <w:t xml:space="preserve"> 11 (1991), H. 2, S. 87 – 90, sowie auf meinen Aufsatz: Moskau, September 1936: Die Suche nach „Trotzkisten“ und „Versöhnlern“. In: </w:t>
      </w:r>
      <w:r>
        <w:rPr>
          <w:i/>
          <w:spacing w:val="-3"/>
          <w:szCs w:val="24"/>
        </w:rPr>
        <w:t>Kommunisten verfolgen Kommunisten</w:t>
      </w:r>
      <w:r>
        <w:rPr>
          <w:spacing w:val="-3"/>
          <w:szCs w:val="24"/>
        </w:rPr>
        <w:t>. Stalinistischer Terror und ‚Säuberungen’ in den kommunistischen Parteien Europas seit den dreißiger Jahren. Hrsg. von Hermann Weber u. Dietrich Staritz. Berlin 1993, S. 327 - 337.</w:t>
      </w:r>
    </w:p>
  </w:footnote>
  <w:footnote w:id="5">
    <w:p w:rsidR="00142DBB" w:rsidRPr="00856EF1" w:rsidRDefault="00142DBB" w:rsidP="00EE433F">
      <w:pPr>
        <w:spacing w:after="0" w:line="240" w:lineRule="auto"/>
        <w:rPr>
          <w:rStyle w:val="Funotenzeichen"/>
        </w:rPr>
      </w:pPr>
      <w:r>
        <w:rPr>
          <w:rStyle w:val="Funotenzeichen"/>
        </w:rPr>
        <w:footnoteRef/>
      </w:r>
      <w:r>
        <w:t xml:space="preserve"> </w:t>
      </w:r>
      <w:r w:rsidRPr="00717E39">
        <w:t xml:space="preserve">Reinhard Müller (Hrsg.): Georg Lukács / Johannes R. Becher / Friedrich Wolf u.a.: </w:t>
      </w:r>
      <w:r w:rsidRPr="00717E39">
        <w:rPr>
          <w:i/>
        </w:rPr>
        <w:t>Die Säuberung.</w:t>
      </w:r>
      <w:r w:rsidRPr="00717E39">
        <w:t xml:space="preserve"> Moskau 1936: Stenogramm einer geschlossenen Parteiversammlung. Reinbek 1991.</w:t>
      </w:r>
      <w:r>
        <w:t xml:space="preserve"> – Zu den Biografien der Teilnehmer vgl. Müller: </w:t>
      </w:r>
      <w:r>
        <w:rPr>
          <w:i/>
        </w:rPr>
        <w:t>Die Säuberung</w:t>
      </w:r>
      <w:r w:rsidRPr="00856EF1">
        <w:t xml:space="preserve">, S. </w:t>
      </w:r>
      <w:r>
        <w:t>46 – 79.</w:t>
      </w:r>
      <w:r w:rsidRPr="00856EF1">
        <w:rPr>
          <w:rStyle w:val="Funotenzeichen"/>
        </w:rPr>
        <w:t xml:space="preserve"> </w:t>
      </w:r>
    </w:p>
  </w:footnote>
  <w:footnote w:id="6">
    <w:p w:rsidR="00142DBB" w:rsidRPr="003C2A18" w:rsidRDefault="00142DBB" w:rsidP="00D37A9D">
      <w:pPr>
        <w:pStyle w:val="Funotentext"/>
      </w:pPr>
      <w:r>
        <w:rPr>
          <w:rStyle w:val="Funotenzeichen"/>
        </w:rPr>
        <w:footnoteRef/>
      </w:r>
      <w:r>
        <w:t xml:space="preserve"> Gustav Regler: </w:t>
      </w:r>
      <w:r>
        <w:rPr>
          <w:i/>
        </w:rPr>
        <w:t xml:space="preserve">Das Ohr des </w:t>
      </w:r>
      <w:proofErr w:type="spellStart"/>
      <w:r>
        <w:rPr>
          <w:i/>
        </w:rPr>
        <w:t>Malchus</w:t>
      </w:r>
      <w:proofErr w:type="spellEnd"/>
      <w:r>
        <w:rPr>
          <w:i/>
        </w:rPr>
        <w:t xml:space="preserve">. </w:t>
      </w:r>
      <w:r>
        <w:t>Köln 1960, S. 347.</w:t>
      </w:r>
    </w:p>
  </w:footnote>
  <w:footnote w:id="7">
    <w:p w:rsidR="00142DBB" w:rsidRPr="009F6BE1" w:rsidRDefault="00142DBB">
      <w:pPr>
        <w:pStyle w:val="Funotentext"/>
      </w:pPr>
      <w:r>
        <w:rPr>
          <w:rStyle w:val="Funotenzeichen"/>
        </w:rPr>
        <w:footnoteRef/>
      </w:r>
      <w:r>
        <w:t xml:space="preserve"> </w:t>
      </w:r>
      <w:r>
        <w:rPr>
          <w:i/>
        </w:rPr>
        <w:t>Säuberung,</w:t>
      </w:r>
      <w:r>
        <w:t xml:space="preserve"> S. 115.</w:t>
      </w:r>
    </w:p>
  </w:footnote>
  <w:footnote w:id="8">
    <w:p w:rsidR="00142DBB" w:rsidRDefault="00142DBB">
      <w:pPr>
        <w:pStyle w:val="Funotentext"/>
      </w:pPr>
      <w:r>
        <w:rPr>
          <w:rStyle w:val="Funotenzeichen"/>
        </w:rPr>
        <w:footnoteRef/>
      </w:r>
      <w:r>
        <w:t xml:space="preserve"> Ebd., S. 160 – 172.</w:t>
      </w:r>
    </w:p>
  </w:footnote>
  <w:footnote w:id="9">
    <w:p w:rsidR="00142DBB" w:rsidRDefault="00142DBB">
      <w:pPr>
        <w:pStyle w:val="Funotentext"/>
      </w:pPr>
      <w:r>
        <w:rPr>
          <w:rStyle w:val="Funotenzeichen"/>
        </w:rPr>
        <w:footnoteRef/>
      </w:r>
      <w:r>
        <w:t xml:space="preserve"> S. 172.</w:t>
      </w:r>
    </w:p>
  </w:footnote>
  <w:footnote w:id="10">
    <w:p w:rsidR="00142DBB" w:rsidRPr="00627AE1" w:rsidRDefault="00142DBB" w:rsidP="002F782D">
      <w:pPr>
        <w:pStyle w:val="Funotentext"/>
      </w:pPr>
      <w:r>
        <w:rPr>
          <w:rStyle w:val="Funotenzeichen"/>
        </w:rPr>
        <w:footnoteRef/>
      </w:r>
      <w:r>
        <w:t xml:space="preserve"> So Günther; in: Müller: </w:t>
      </w:r>
      <w:r>
        <w:rPr>
          <w:i/>
        </w:rPr>
        <w:t xml:space="preserve">Säuberung, </w:t>
      </w:r>
      <w:r w:rsidRPr="00627AE1">
        <w:t>S</w:t>
      </w:r>
      <w:r>
        <w:t xml:space="preserve">. 96. </w:t>
      </w:r>
    </w:p>
  </w:footnote>
  <w:footnote w:id="11">
    <w:p w:rsidR="00142DBB" w:rsidRDefault="00142DBB">
      <w:pPr>
        <w:pStyle w:val="Funotentext"/>
      </w:pPr>
      <w:r>
        <w:rPr>
          <w:rStyle w:val="Funotenzeichen"/>
        </w:rPr>
        <w:footnoteRef/>
      </w:r>
      <w:r>
        <w:t xml:space="preserve"> S. 157.</w:t>
      </w:r>
    </w:p>
  </w:footnote>
  <w:footnote w:id="12">
    <w:p w:rsidR="00142DBB" w:rsidRDefault="00142DBB">
      <w:pPr>
        <w:pStyle w:val="Funotentext"/>
      </w:pPr>
      <w:r>
        <w:rPr>
          <w:rStyle w:val="Funotenzeichen"/>
        </w:rPr>
        <w:footnoteRef/>
      </w:r>
      <w:r>
        <w:t xml:space="preserve"> S. 196.</w:t>
      </w:r>
    </w:p>
  </w:footnote>
  <w:footnote w:id="13">
    <w:p w:rsidR="00142DBB" w:rsidRDefault="00142DBB">
      <w:pPr>
        <w:pStyle w:val="Funotentext"/>
      </w:pPr>
      <w:r>
        <w:rPr>
          <w:rStyle w:val="Funotenzeichen"/>
        </w:rPr>
        <w:footnoteRef/>
      </w:r>
      <w:r>
        <w:t xml:space="preserve"> S. 300.</w:t>
      </w:r>
    </w:p>
  </w:footnote>
  <w:footnote w:id="14">
    <w:p w:rsidR="00142DBB" w:rsidRDefault="00142DBB">
      <w:pPr>
        <w:pStyle w:val="Funotentext"/>
      </w:pPr>
      <w:r>
        <w:rPr>
          <w:rStyle w:val="Funotenzeichen"/>
        </w:rPr>
        <w:footnoteRef/>
      </w:r>
      <w:r>
        <w:t xml:space="preserve"> S. 177.</w:t>
      </w:r>
    </w:p>
  </w:footnote>
  <w:footnote w:id="15">
    <w:p w:rsidR="00142DBB" w:rsidRDefault="00142DBB">
      <w:pPr>
        <w:pStyle w:val="Funotentext"/>
      </w:pPr>
      <w:r>
        <w:rPr>
          <w:rStyle w:val="Funotenzeichen"/>
        </w:rPr>
        <w:footnoteRef/>
      </w:r>
      <w:r>
        <w:t xml:space="preserve"> Charakteristisch ist der Vorwurf von Lukács gegenüber Karl </w:t>
      </w:r>
      <w:proofErr w:type="spellStart"/>
      <w:r>
        <w:t>Schmückle</w:t>
      </w:r>
      <w:proofErr w:type="spellEnd"/>
      <w:r>
        <w:t xml:space="preserve"> und Heinrich </w:t>
      </w:r>
      <w:proofErr w:type="spellStart"/>
      <w:r>
        <w:t>Süßkind</w:t>
      </w:r>
      <w:proofErr w:type="spellEnd"/>
      <w:r>
        <w:t>. Er ist an Vu</w:t>
      </w:r>
      <w:r>
        <w:t>l</w:t>
      </w:r>
      <w:r>
        <w:t xml:space="preserve">garität kaum zu übertreffen: „Das Regime </w:t>
      </w:r>
      <w:proofErr w:type="spellStart"/>
      <w:r>
        <w:t>Süßkind</w:t>
      </w:r>
      <w:proofErr w:type="spellEnd"/>
      <w:r>
        <w:t xml:space="preserve"> – </w:t>
      </w:r>
      <w:proofErr w:type="spellStart"/>
      <w:r>
        <w:t>Schmückle</w:t>
      </w:r>
      <w:proofErr w:type="spellEnd"/>
      <w:r>
        <w:t xml:space="preserve"> ging dahin hinaus, einen Brei [!] aus der Volk</w:t>
      </w:r>
      <w:r>
        <w:t>s</w:t>
      </w:r>
      <w:r>
        <w:t xml:space="preserve">front zu machen“ (S. 194) Der österreichische Schriftsteller Ernst </w:t>
      </w:r>
      <w:proofErr w:type="spellStart"/>
      <w:r>
        <w:t>Fabri</w:t>
      </w:r>
      <w:proofErr w:type="spellEnd"/>
      <w:r>
        <w:t xml:space="preserve"> spricht davon, dass man in der in Mo</w:t>
      </w:r>
      <w:r>
        <w:t>s</w:t>
      </w:r>
      <w:r>
        <w:t xml:space="preserve">kau erscheinende </w:t>
      </w:r>
      <w:r>
        <w:rPr>
          <w:i/>
        </w:rPr>
        <w:t>Deutsche Zentral-Zeitung</w:t>
      </w:r>
      <w:r>
        <w:t xml:space="preserve"> „4 Jahre lang eine faschistische Gruppe“ gehabt habe, die sich zwar „tarnen“ musste, jedoch versucht habe, „ihre Konterbande einzuschmuggeln“ (S. 469). </w:t>
      </w:r>
    </w:p>
  </w:footnote>
  <w:footnote w:id="16">
    <w:p w:rsidR="00142DBB" w:rsidRDefault="00142DBB">
      <w:pPr>
        <w:pStyle w:val="Funotentext"/>
      </w:pPr>
      <w:r>
        <w:rPr>
          <w:rStyle w:val="Funotenzeichen"/>
        </w:rPr>
        <w:footnoteRef/>
      </w:r>
      <w:r>
        <w:t xml:space="preserve"> S. 184.</w:t>
      </w:r>
    </w:p>
  </w:footnote>
  <w:footnote w:id="17">
    <w:p w:rsidR="00142DBB" w:rsidRDefault="00142DBB">
      <w:pPr>
        <w:pStyle w:val="Funotentext"/>
      </w:pPr>
      <w:r>
        <w:rPr>
          <w:rStyle w:val="Funotenzeichen"/>
        </w:rPr>
        <w:footnoteRef/>
      </w:r>
      <w:r>
        <w:t xml:space="preserve"> S. 393.</w:t>
      </w:r>
    </w:p>
  </w:footnote>
  <w:footnote w:id="18">
    <w:p w:rsidR="00142DBB" w:rsidRDefault="00142DBB">
      <w:pPr>
        <w:pStyle w:val="Funotentext"/>
      </w:pPr>
      <w:r>
        <w:rPr>
          <w:rStyle w:val="Funotenzeichen"/>
        </w:rPr>
        <w:footnoteRef/>
      </w:r>
      <w:r>
        <w:t xml:space="preserve"> S. 393, Hervorhebung – F.T. – Wolf zweifelt offen die Glaubwürdigkeit von Hans Günther an: „Warum spricht Günther nicht über den Fall der Genossin Trude [Richter] in dem Zusammenhang, warum </w:t>
      </w:r>
      <w:proofErr w:type="spellStart"/>
      <w:r>
        <w:t>muß</w:t>
      </w:r>
      <w:proofErr w:type="spellEnd"/>
      <w:r>
        <w:t xml:space="preserve"> er erst durch Zwischenfragen des Genossen </w:t>
      </w:r>
      <w:proofErr w:type="spellStart"/>
      <w:r>
        <w:t>Ottwalt</w:t>
      </w:r>
      <w:proofErr w:type="spellEnd"/>
      <w:r>
        <w:t xml:space="preserve"> dazu gebracht werden, hierüber zu sprechen?“ (S. 392) Er g</w:t>
      </w:r>
      <w:r>
        <w:t>e</w:t>
      </w:r>
      <w:r>
        <w:t>braucht sogar zu Vokabeln wie „Lumperei“ und „Sauerei“ (S. 393).</w:t>
      </w:r>
    </w:p>
  </w:footnote>
  <w:footnote w:id="19">
    <w:p w:rsidR="00142DBB" w:rsidRDefault="00142DBB">
      <w:pPr>
        <w:pStyle w:val="Funotentext"/>
      </w:pPr>
      <w:r>
        <w:rPr>
          <w:rStyle w:val="Funotenzeichen"/>
        </w:rPr>
        <w:footnoteRef/>
      </w:r>
      <w:r>
        <w:t xml:space="preserve"> S. 120 f. – Hervorhebungen im Original als Unterstreichungen.</w:t>
      </w:r>
    </w:p>
  </w:footnote>
  <w:footnote w:id="20">
    <w:p w:rsidR="00142DBB" w:rsidRPr="00EE6D37" w:rsidRDefault="00142DBB">
      <w:pPr>
        <w:pStyle w:val="Funotentext"/>
      </w:pPr>
      <w:r>
        <w:rPr>
          <w:rStyle w:val="Funotenzeichen"/>
        </w:rPr>
        <w:footnoteRef/>
      </w:r>
      <w:r>
        <w:t xml:space="preserve"> Vgl. </w:t>
      </w:r>
      <w:r>
        <w:rPr>
          <w:i/>
        </w:rPr>
        <w:t>In den Fängen des NKWD</w:t>
      </w:r>
      <w:r>
        <w:t>. Deutsche Opfer des stalinistischen Terrors in der UdSSR. Berlin 1991, S. 185 f.</w:t>
      </w:r>
    </w:p>
  </w:footnote>
  <w:footnote w:id="21">
    <w:p w:rsidR="00142DBB" w:rsidRPr="00514CD2" w:rsidRDefault="00142DBB">
      <w:pPr>
        <w:pStyle w:val="Funotentext"/>
      </w:pPr>
      <w:r>
        <w:rPr>
          <w:rStyle w:val="Funotenzeichen"/>
        </w:rPr>
        <w:footnoteRef/>
      </w:r>
      <w:r>
        <w:t xml:space="preserve"> Vgl. hierzu Reinhard Müller: Einleitung, in: </w:t>
      </w:r>
      <w:proofErr w:type="spellStart"/>
      <w:r>
        <w:t>ders</w:t>
      </w:r>
      <w:proofErr w:type="spellEnd"/>
      <w:r>
        <w:t xml:space="preserve">.: </w:t>
      </w:r>
      <w:r>
        <w:rPr>
          <w:i/>
        </w:rPr>
        <w:t>Die Säuberung</w:t>
      </w:r>
      <w:r>
        <w:t>, S. 76 – 79.</w:t>
      </w:r>
    </w:p>
  </w:footnote>
  <w:footnote w:id="22">
    <w:p w:rsidR="00142DBB" w:rsidRPr="00D03A59" w:rsidRDefault="00142DBB">
      <w:pPr>
        <w:pStyle w:val="Funotentext"/>
      </w:pPr>
      <w:r>
        <w:rPr>
          <w:rStyle w:val="Funotenzeichen"/>
        </w:rPr>
        <w:footnoteRef/>
      </w:r>
      <w:r>
        <w:t xml:space="preserve"> Der Artikel war am 27. August 1936</w:t>
      </w:r>
      <w:r w:rsidRPr="00D03A59">
        <w:rPr>
          <w:sz w:val="24"/>
          <w:szCs w:val="24"/>
        </w:rPr>
        <w:t xml:space="preserve"> </w:t>
      </w:r>
      <w:r>
        <w:rPr>
          <w:sz w:val="24"/>
          <w:szCs w:val="24"/>
        </w:rPr>
        <w:t xml:space="preserve">in </w:t>
      </w:r>
      <w:r w:rsidRPr="00D03A59">
        <w:t xml:space="preserve">der </w:t>
      </w:r>
      <w:proofErr w:type="spellStart"/>
      <w:r w:rsidRPr="00D03A59">
        <w:rPr>
          <w:i/>
        </w:rPr>
        <w:t>Literaturnaja</w:t>
      </w:r>
      <w:proofErr w:type="spellEnd"/>
      <w:r w:rsidRPr="00D03A59">
        <w:rPr>
          <w:i/>
        </w:rPr>
        <w:t xml:space="preserve"> </w:t>
      </w:r>
      <w:proofErr w:type="spellStart"/>
      <w:r w:rsidRPr="00D03A59">
        <w:rPr>
          <w:i/>
        </w:rPr>
        <w:t>Gazeta</w:t>
      </w:r>
      <w:proofErr w:type="spellEnd"/>
      <w:r>
        <w:t xml:space="preserve"> erschienen. </w:t>
      </w:r>
      <w:r w:rsidRPr="00D03A59">
        <w:t xml:space="preserve">Karl </w:t>
      </w:r>
      <w:proofErr w:type="spellStart"/>
      <w:r w:rsidRPr="00D03A59">
        <w:t>Schmückle</w:t>
      </w:r>
      <w:proofErr w:type="spellEnd"/>
      <w:r w:rsidRPr="00D03A59">
        <w:t xml:space="preserve"> wird</w:t>
      </w:r>
      <w:r>
        <w:t xml:space="preserve"> jedoch</w:t>
      </w:r>
      <w:r w:rsidRPr="00D03A59">
        <w:t xml:space="preserve"> erst am 30.11.1937 verhaftet.</w:t>
      </w:r>
    </w:p>
  </w:footnote>
  <w:footnote w:id="23">
    <w:p w:rsidR="00142DBB" w:rsidRDefault="00142DBB">
      <w:pPr>
        <w:pStyle w:val="Funotentext"/>
      </w:pPr>
      <w:r>
        <w:rPr>
          <w:rStyle w:val="Funotenzeichen"/>
        </w:rPr>
        <w:footnoteRef/>
      </w:r>
      <w:r>
        <w:t xml:space="preserve"> Auch Johannes R. Becher steht im Zentrum der Untersuchung, weil er sich noch nach der Entfernung von </w:t>
      </w:r>
      <w:proofErr w:type="spellStart"/>
      <w:r>
        <w:t>Schmückle</w:t>
      </w:r>
      <w:proofErr w:type="spellEnd"/>
      <w:r>
        <w:t xml:space="preserve"> aus der Redaktion der </w:t>
      </w:r>
      <w:r>
        <w:rPr>
          <w:i/>
        </w:rPr>
        <w:t>Moskauer Zentral-</w:t>
      </w:r>
      <w:r w:rsidRPr="00142DBB">
        <w:t>Zeitung</w:t>
      </w:r>
      <w:r>
        <w:t xml:space="preserve"> für </w:t>
      </w:r>
      <w:proofErr w:type="spellStart"/>
      <w:r>
        <w:t>Schmückle</w:t>
      </w:r>
      <w:proofErr w:type="spellEnd"/>
      <w:r>
        <w:t xml:space="preserve"> eingesetzt hat. </w:t>
      </w:r>
      <w:r w:rsidRPr="00142DBB">
        <w:t>Alexander</w:t>
      </w:r>
      <w:r>
        <w:t xml:space="preserve"> </w:t>
      </w:r>
      <w:proofErr w:type="spellStart"/>
      <w:r>
        <w:t>Barta</w:t>
      </w:r>
      <w:proofErr w:type="spellEnd"/>
      <w:r>
        <w:t xml:space="preserve"> formuliert den entsprechenden Vorwurf offen: „</w:t>
      </w:r>
      <w:proofErr w:type="spellStart"/>
      <w:r>
        <w:t>Schmückle</w:t>
      </w:r>
      <w:proofErr w:type="spellEnd"/>
      <w:r>
        <w:t xml:space="preserve"> wurde vom ZK in der Redaktion nicht bestätigt. [Aufgrund dieses Beschlusses] war es unnötig, nachträglich einen prinzipiellen Streit über alte Fragen aufz</w:t>
      </w:r>
      <w:r>
        <w:t>u</w:t>
      </w:r>
      <w:r>
        <w:t xml:space="preserve">nehmen, um </w:t>
      </w:r>
      <w:proofErr w:type="spellStart"/>
      <w:r>
        <w:t>Schmückle</w:t>
      </w:r>
      <w:proofErr w:type="spellEnd"/>
      <w:r>
        <w:t xml:space="preserve"> wieder in die Redaktion hineinzubringen. Aber das wolltest du [Becher]“. </w:t>
      </w:r>
      <w:proofErr w:type="spellStart"/>
      <w:r>
        <w:t>Barta</w:t>
      </w:r>
      <w:proofErr w:type="spellEnd"/>
      <w:r>
        <w:t xml:space="preserve"> führt die Argumentation fort: „Du hast erklärt, falls </w:t>
      </w:r>
      <w:proofErr w:type="spellStart"/>
      <w:r>
        <w:t>Schmückle</w:t>
      </w:r>
      <w:proofErr w:type="spellEnd"/>
      <w:r>
        <w:t xml:space="preserve"> nicht in der Redaktion ist</w:t>
      </w:r>
      <w:r w:rsidR="00E10772">
        <w:t>,</w:t>
      </w:r>
      <w:r>
        <w:t xml:space="preserve"> lehnst du deine Redaktion ab. Das war schon nach dem </w:t>
      </w:r>
      <w:r w:rsidR="00E10772">
        <w:t xml:space="preserve">[ZK-] </w:t>
      </w:r>
      <w:proofErr w:type="spellStart"/>
      <w:r>
        <w:t>Beschluß</w:t>
      </w:r>
      <w:proofErr w:type="spellEnd"/>
      <w:r>
        <w:t xml:space="preserve">“ (S. 140). – </w:t>
      </w:r>
      <w:proofErr w:type="spellStart"/>
      <w:r>
        <w:t>Barta</w:t>
      </w:r>
      <w:proofErr w:type="spellEnd"/>
      <w:r>
        <w:t xml:space="preserve"> stellt somit den Vorwurf in den Raum, Becher habe bewusst und mit voller Absicht mit Parteifeinden kooperiert und sei selber ein Glied im Netz parteifeindl</w:t>
      </w:r>
      <w:r>
        <w:t>i</w:t>
      </w:r>
      <w:r>
        <w:t>cher Aktivitäten.</w:t>
      </w:r>
    </w:p>
  </w:footnote>
  <w:footnote w:id="24">
    <w:p w:rsidR="00142DBB" w:rsidRDefault="00142DBB">
      <w:pPr>
        <w:pStyle w:val="Funotentext"/>
      </w:pPr>
      <w:r>
        <w:rPr>
          <w:rStyle w:val="Funotenzeichen"/>
        </w:rPr>
        <w:footnoteRef/>
      </w:r>
      <w:r>
        <w:t xml:space="preserve"> S. 117.</w:t>
      </w:r>
    </w:p>
  </w:footnote>
  <w:footnote w:id="25">
    <w:p w:rsidR="00142DBB" w:rsidRDefault="00142DBB" w:rsidP="00462133">
      <w:pPr>
        <w:pStyle w:val="Funotentext"/>
      </w:pPr>
      <w:r>
        <w:rPr>
          <w:rStyle w:val="Funotenzeichen"/>
        </w:rPr>
        <w:footnoteRef/>
      </w:r>
      <w:r>
        <w:t xml:space="preserve"> Die Gruppe der „Versöhnler“ (Arthur Ewert, Hugo Eberlein, Heinrich </w:t>
      </w:r>
      <w:proofErr w:type="spellStart"/>
      <w:r>
        <w:t>Süßkind</w:t>
      </w:r>
      <w:proofErr w:type="spellEnd"/>
      <w:r>
        <w:t>, Gerhard Eisler u.a.) gewann nach dem Sturz der „ultralinken“ Parteiführung (Ruth Fischer) in der KPD innerparteiliche Bedeutung. Zusa</w:t>
      </w:r>
      <w:r>
        <w:t>m</w:t>
      </w:r>
      <w:r>
        <w:t xml:space="preserve">men mit der sog. „Berliner Opposition“ (Karl Volk) standen sie in Opposition zu der von Thälmann geführten Partei. </w:t>
      </w:r>
    </w:p>
  </w:footnote>
  <w:footnote w:id="26">
    <w:p w:rsidR="00142DBB" w:rsidRDefault="00142DBB">
      <w:pPr>
        <w:pStyle w:val="Funotentext"/>
      </w:pPr>
      <w:r>
        <w:rPr>
          <w:rStyle w:val="Funotenzeichen"/>
        </w:rPr>
        <w:footnoteRef/>
      </w:r>
      <w:r>
        <w:t xml:space="preserve"> S. 233, ebenso S. 146.</w:t>
      </w:r>
    </w:p>
  </w:footnote>
  <w:footnote w:id="27">
    <w:p w:rsidR="00142DBB" w:rsidRDefault="00142DBB" w:rsidP="00462133">
      <w:pPr>
        <w:pStyle w:val="Funotentext"/>
      </w:pPr>
      <w:r>
        <w:rPr>
          <w:rStyle w:val="Funotenzeichen"/>
        </w:rPr>
        <w:footnoteRef/>
      </w:r>
      <w:r>
        <w:t xml:space="preserve"> Reinhard Müller spricht in Hinblick auf die Verhörprotokolle des NKWD deshalb von „Kontaktschuld“.</w:t>
      </w:r>
    </w:p>
  </w:footnote>
  <w:footnote w:id="28">
    <w:p w:rsidR="00142DBB" w:rsidRDefault="00142DBB" w:rsidP="00C3700E">
      <w:pPr>
        <w:pStyle w:val="Funotentext"/>
      </w:pPr>
      <w:r>
        <w:rPr>
          <w:rStyle w:val="Funotenzeichen"/>
        </w:rPr>
        <w:footnoteRef/>
      </w:r>
      <w:r>
        <w:t xml:space="preserve"> S. 242.</w:t>
      </w:r>
    </w:p>
  </w:footnote>
  <w:footnote w:id="29">
    <w:p w:rsidR="00142DBB" w:rsidRDefault="00142DBB" w:rsidP="00C3700E">
      <w:pPr>
        <w:pStyle w:val="Funotentext"/>
      </w:pPr>
      <w:r>
        <w:rPr>
          <w:rStyle w:val="Funotenzeichen"/>
        </w:rPr>
        <w:footnoteRef/>
      </w:r>
      <w:r>
        <w:t xml:space="preserve"> S. 338.</w:t>
      </w:r>
    </w:p>
  </w:footnote>
  <w:footnote w:id="30">
    <w:p w:rsidR="00142DBB" w:rsidRDefault="00142DBB" w:rsidP="00C3700E">
      <w:pPr>
        <w:pStyle w:val="Funotentext"/>
      </w:pPr>
      <w:r>
        <w:rPr>
          <w:rStyle w:val="Funotenzeichen"/>
        </w:rPr>
        <w:footnoteRef/>
      </w:r>
      <w:r>
        <w:t xml:space="preserve"> S. 339. Zur Diskussion über Brecht und Malraux vg1. S. 139 u. 146.</w:t>
      </w:r>
    </w:p>
  </w:footnote>
  <w:footnote w:id="31">
    <w:p w:rsidR="00142DBB" w:rsidRDefault="00142DBB" w:rsidP="00C3700E">
      <w:pPr>
        <w:pStyle w:val="Funotentext"/>
      </w:pPr>
      <w:r>
        <w:rPr>
          <w:rStyle w:val="Funotenzeichen"/>
        </w:rPr>
        <w:footnoteRef/>
      </w:r>
      <w:r>
        <w:t xml:space="preserve"> S. 239 f. Hervorhebung – F.T.</w:t>
      </w:r>
    </w:p>
  </w:footnote>
  <w:footnote w:id="32">
    <w:p w:rsidR="00142DBB" w:rsidRDefault="00142DBB" w:rsidP="00C3700E">
      <w:pPr>
        <w:pStyle w:val="Funotentext"/>
      </w:pPr>
      <w:r>
        <w:rPr>
          <w:rStyle w:val="Funotenzeichen"/>
        </w:rPr>
        <w:footnoteRef/>
      </w:r>
      <w:r>
        <w:t xml:space="preserve"> S. 241.</w:t>
      </w:r>
    </w:p>
  </w:footnote>
  <w:footnote w:id="33">
    <w:p w:rsidR="00142DBB" w:rsidRDefault="00142DBB">
      <w:pPr>
        <w:pStyle w:val="Funotentext"/>
      </w:pPr>
      <w:r>
        <w:rPr>
          <w:rStyle w:val="Funotenzeichen"/>
        </w:rPr>
        <w:footnoteRef/>
      </w:r>
      <w:r>
        <w:t xml:space="preserve"> S. 132 f.</w:t>
      </w:r>
    </w:p>
  </w:footnote>
  <w:footnote w:id="34">
    <w:p w:rsidR="00142DBB" w:rsidRDefault="00142DBB">
      <w:pPr>
        <w:pStyle w:val="Funotentext"/>
      </w:pPr>
      <w:r>
        <w:rPr>
          <w:rStyle w:val="Funotenzeichen"/>
        </w:rPr>
        <w:footnoteRef/>
      </w:r>
      <w:r>
        <w:t xml:space="preserve"> S. 131.</w:t>
      </w:r>
    </w:p>
  </w:footnote>
  <w:footnote w:id="35">
    <w:p w:rsidR="00142DBB" w:rsidRDefault="00142DBB">
      <w:pPr>
        <w:pStyle w:val="Funotentext"/>
      </w:pPr>
      <w:r>
        <w:rPr>
          <w:rStyle w:val="Funotenzeichen"/>
        </w:rPr>
        <w:footnoteRef/>
      </w:r>
      <w:r>
        <w:t xml:space="preserve"> S. 284 f.</w:t>
      </w:r>
    </w:p>
  </w:footnote>
  <w:footnote w:id="36">
    <w:p w:rsidR="00142DBB" w:rsidRDefault="00142DBB">
      <w:pPr>
        <w:pStyle w:val="Funotentext"/>
      </w:pPr>
      <w:r>
        <w:rPr>
          <w:rStyle w:val="Funotenzeichen"/>
        </w:rPr>
        <w:footnoteRef/>
      </w:r>
      <w:r>
        <w:t xml:space="preserve"> S. 410.</w:t>
      </w:r>
    </w:p>
  </w:footnote>
  <w:footnote w:id="37">
    <w:p w:rsidR="00142DBB" w:rsidRPr="00B80DDD" w:rsidRDefault="00142DBB">
      <w:pPr>
        <w:pStyle w:val="Funotentext"/>
      </w:pPr>
      <w:r>
        <w:rPr>
          <w:rStyle w:val="Funotenzeichen"/>
        </w:rPr>
        <w:footnoteRef/>
      </w:r>
      <w:r>
        <w:t xml:space="preserve"> Zur Biografie von Erich </w:t>
      </w:r>
      <w:proofErr w:type="spellStart"/>
      <w:r>
        <w:t>Wollenberg</w:t>
      </w:r>
      <w:proofErr w:type="spellEnd"/>
      <w:r>
        <w:t xml:space="preserve"> vgl. </w:t>
      </w:r>
      <w:r>
        <w:rPr>
          <w:i/>
        </w:rPr>
        <w:t>Biographisches Handbuch der deutschsprachigen Emigration nach 1933</w:t>
      </w:r>
      <w:r>
        <w:t>, Bd. 1, S. 834 f.</w:t>
      </w:r>
    </w:p>
  </w:footnote>
  <w:footnote w:id="38">
    <w:p w:rsidR="00142DBB" w:rsidRDefault="00142DBB">
      <w:pPr>
        <w:pStyle w:val="Funotentext"/>
      </w:pPr>
      <w:r>
        <w:rPr>
          <w:rStyle w:val="Funotenzeichen"/>
        </w:rPr>
        <w:footnoteRef/>
      </w:r>
      <w:r>
        <w:t xml:space="preserve"> S. 133 f. – Hervorhebung F.T.</w:t>
      </w:r>
    </w:p>
  </w:footnote>
  <w:footnote w:id="39">
    <w:p w:rsidR="00142DBB" w:rsidRDefault="00142DBB">
      <w:pPr>
        <w:pStyle w:val="Funotentext"/>
      </w:pPr>
      <w:r>
        <w:rPr>
          <w:rStyle w:val="Funotenzeichen"/>
        </w:rPr>
        <w:footnoteRef/>
      </w:r>
      <w:r>
        <w:t xml:space="preserve"> S. 211, 218 f., 487.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626"/>
      <w:docPartObj>
        <w:docPartGallery w:val="Page Numbers (Top of Page)"/>
        <w:docPartUnique/>
      </w:docPartObj>
    </w:sdtPr>
    <w:sdtEndPr/>
    <w:sdtContent>
      <w:p w:rsidR="00142DBB" w:rsidRDefault="00E330D6">
        <w:pPr>
          <w:pStyle w:val="Kopfzeile"/>
          <w:jc w:val="right"/>
        </w:pPr>
        <w:r>
          <w:fldChar w:fldCharType="begin"/>
        </w:r>
        <w:r>
          <w:instrText xml:space="preserve"> PAGE   \* MERGEFORMAT </w:instrText>
        </w:r>
        <w:r>
          <w:fldChar w:fldCharType="separate"/>
        </w:r>
        <w:r w:rsidR="00A046FA">
          <w:rPr>
            <w:noProof/>
          </w:rPr>
          <w:t>9</w:t>
        </w:r>
        <w:r>
          <w:rPr>
            <w:noProof/>
          </w:rPr>
          <w:fldChar w:fldCharType="end"/>
        </w:r>
      </w:p>
    </w:sdtContent>
  </w:sdt>
  <w:p w:rsidR="00142DBB" w:rsidRDefault="00142D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0F5C"/>
    <w:multiLevelType w:val="multilevel"/>
    <w:tmpl w:val="CCB6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940"/>
    <w:rsid w:val="0000125E"/>
    <w:rsid w:val="0000192B"/>
    <w:rsid w:val="00002644"/>
    <w:rsid w:val="000072B5"/>
    <w:rsid w:val="00026431"/>
    <w:rsid w:val="000417A3"/>
    <w:rsid w:val="00051A73"/>
    <w:rsid w:val="00072D80"/>
    <w:rsid w:val="0009491E"/>
    <w:rsid w:val="000A355E"/>
    <w:rsid w:val="000A6BB5"/>
    <w:rsid w:val="000B078C"/>
    <w:rsid w:val="000D2F50"/>
    <w:rsid w:val="000D6174"/>
    <w:rsid w:val="000F3A49"/>
    <w:rsid w:val="000F3B28"/>
    <w:rsid w:val="001013E5"/>
    <w:rsid w:val="00106B86"/>
    <w:rsid w:val="0011121D"/>
    <w:rsid w:val="00117405"/>
    <w:rsid w:val="00136596"/>
    <w:rsid w:val="00142DBB"/>
    <w:rsid w:val="00146944"/>
    <w:rsid w:val="0015131D"/>
    <w:rsid w:val="00154FAD"/>
    <w:rsid w:val="001A6EC1"/>
    <w:rsid w:val="001B7CF9"/>
    <w:rsid w:val="001C0291"/>
    <w:rsid w:val="001C0642"/>
    <w:rsid w:val="001C2CBC"/>
    <w:rsid w:val="001D53E7"/>
    <w:rsid w:val="001D6EDF"/>
    <w:rsid w:val="001F5B32"/>
    <w:rsid w:val="0020537F"/>
    <w:rsid w:val="0020603E"/>
    <w:rsid w:val="0028089A"/>
    <w:rsid w:val="002914AA"/>
    <w:rsid w:val="002977BA"/>
    <w:rsid w:val="002A2C0F"/>
    <w:rsid w:val="002A3ACE"/>
    <w:rsid w:val="002A7B3D"/>
    <w:rsid w:val="002A7EC6"/>
    <w:rsid w:val="002B00CC"/>
    <w:rsid w:val="002B2ED9"/>
    <w:rsid w:val="002B64FA"/>
    <w:rsid w:val="002B7258"/>
    <w:rsid w:val="002C329A"/>
    <w:rsid w:val="002D677F"/>
    <w:rsid w:val="002E353E"/>
    <w:rsid w:val="002F1413"/>
    <w:rsid w:val="002F59CC"/>
    <w:rsid w:val="002F5F40"/>
    <w:rsid w:val="002F782D"/>
    <w:rsid w:val="00302A07"/>
    <w:rsid w:val="00304877"/>
    <w:rsid w:val="00330EFC"/>
    <w:rsid w:val="00330F73"/>
    <w:rsid w:val="003728AD"/>
    <w:rsid w:val="003858B6"/>
    <w:rsid w:val="00385DFC"/>
    <w:rsid w:val="003A4384"/>
    <w:rsid w:val="003A6DED"/>
    <w:rsid w:val="003B3BD9"/>
    <w:rsid w:val="003C0978"/>
    <w:rsid w:val="003C3681"/>
    <w:rsid w:val="003C7119"/>
    <w:rsid w:val="003D637B"/>
    <w:rsid w:val="003E4542"/>
    <w:rsid w:val="003E6C33"/>
    <w:rsid w:val="003F3C84"/>
    <w:rsid w:val="003F3E87"/>
    <w:rsid w:val="00407D11"/>
    <w:rsid w:val="00415413"/>
    <w:rsid w:val="00426F73"/>
    <w:rsid w:val="00437F98"/>
    <w:rsid w:val="00462133"/>
    <w:rsid w:val="0048056E"/>
    <w:rsid w:val="00487EFD"/>
    <w:rsid w:val="0049737B"/>
    <w:rsid w:val="00497940"/>
    <w:rsid w:val="004A691C"/>
    <w:rsid w:val="004C1738"/>
    <w:rsid w:val="004D3FC3"/>
    <w:rsid w:val="004D41E3"/>
    <w:rsid w:val="00513677"/>
    <w:rsid w:val="00514CD2"/>
    <w:rsid w:val="00542E3C"/>
    <w:rsid w:val="00547792"/>
    <w:rsid w:val="00551306"/>
    <w:rsid w:val="00557FB7"/>
    <w:rsid w:val="00576713"/>
    <w:rsid w:val="005B4A43"/>
    <w:rsid w:val="005C3BC2"/>
    <w:rsid w:val="005D7D59"/>
    <w:rsid w:val="005F0643"/>
    <w:rsid w:val="006028C6"/>
    <w:rsid w:val="00603F97"/>
    <w:rsid w:val="00610028"/>
    <w:rsid w:val="006118C5"/>
    <w:rsid w:val="006256EA"/>
    <w:rsid w:val="00627AE1"/>
    <w:rsid w:val="00635BA1"/>
    <w:rsid w:val="006450AC"/>
    <w:rsid w:val="0064659D"/>
    <w:rsid w:val="00651803"/>
    <w:rsid w:val="00687923"/>
    <w:rsid w:val="00692BF4"/>
    <w:rsid w:val="006A2486"/>
    <w:rsid w:val="006B181E"/>
    <w:rsid w:val="006C2326"/>
    <w:rsid w:val="006C2F13"/>
    <w:rsid w:val="006E0F4C"/>
    <w:rsid w:val="006E3AB7"/>
    <w:rsid w:val="006E6570"/>
    <w:rsid w:val="006F40F0"/>
    <w:rsid w:val="00716FD3"/>
    <w:rsid w:val="00723A91"/>
    <w:rsid w:val="00731034"/>
    <w:rsid w:val="00733BED"/>
    <w:rsid w:val="00733E0C"/>
    <w:rsid w:val="00752C08"/>
    <w:rsid w:val="00757DA7"/>
    <w:rsid w:val="007731AC"/>
    <w:rsid w:val="00773EB0"/>
    <w:rsid w:val="00780605"/>
    <w:rsid w:val="007A7D27"/>
    <w:rsid w:val="007B028F"/>
    <w:rsid w:val="007B574F"/>
    <w:rsid w:val="007B688C"/>
    <w:rsid w:val="007B79E9"/>
    <w:rsid w:val="007C0B6A"/>
    <w:rsid w:val="007C1752"/>
    <w:rsid w:val="007F2900"/>
    <w:rsid w:val="00810998"/>
    <w:rsid w:val="0081298F"/>
    <w:rsid w:val="00824B00"/>
    <w:rsid w:val="0083240E"/>
    <w:rsid w:val="00832FCD"/>
    <w:rsid w:val="00835FFD"/>
    <w:rsid w:val="00847DDB"/>
    <w:rsid w:val="008500E4"/>
    <w:rsid w:val="00856EF1"/>
    <w:rsid w:val="00865C17"/>
    <w:rsid w:val="008809C3"/>
    <w:rsid w:val="008845A5"/>
    <w:rsid w:val="008859DE"/>
    <w:rsid w:val="0088765B"/>
    <w:rsid w:val="008A5511"/>
    <w:rsid w:val="008A7527"/>
    <w:rsid w:val="008C4B76"/>
    <w:rsid w:val="008F1D91"/>
    <w:rsid w:val="008F5B21"/>
    <w:rsid w:val="00905816"/>
    <w:rsid w:val="00917B46"/>
    <w:rsid w:val="0092536D"/>
    <w:rsid w:val="0094172B"/>
    <w:rsid w:val="00950E3B"/>
    <w:rsid w:val="009706A7"/>
    <w:rsid w:val="00971124"/>
    <w:rsid w:val="0098093D"/>
    <w:rsid w:val="009A663D"/>
    <w:rsid w:val="009B51CC"/>
    <w:rsid w:val="009B551F"/>
    <w:rsid w:val="009B5B4E"/>
    <w:rsid w:val="009C32B3"/>
    <w:rsid w:val="009C56B0"/>
    <w:rsid w:val="009C6B4B"/>
    <w:rsid w:val="009D5BD6"/>
    <w:rsid w:val="009D5F85"/>
    <w:rsid w:val="009F2971"/>
    <w:rsid w:val="009F5AE5"/>
    <w:rsid w:val="009F6BE1"/>
    <w:rsid w:val="00A00FE4"/>
    <w:rsid w:val="00A046FA"/>
    <w:rsid w:val="00A0617D"/>
    <w:rsid w:val="00A30606"/>
    <w:rsid w:val="00A37988"/>
    <w:rsid w:val="00A41CC4"/>
    <w:rsid w:val="00A434D5"/>
    <w:rsid w:val="00A4496C"/>
    <w:rsid w:val="00A57E3E"/>
    <w:rsid w:val="00A77FF9"/>
    <w:rsid w:val="00A976DE"/>
    <w:rsid w:val="00AB4D74"/>
    <w:rsid w:val="00AC36F9"/>
    <w:rsid w:val="00AD64B3"/>
    <w:rsid w:val="00AE6BDE"/>
    <w:rsid w:val="00B02A71"/>
    <w:rsid w:val="00B15EEB"/>
    <w:rsid w:val="00B209B7"/>
    <w:rsid w:val="00B20E52"/>
    <w:rsid w:val="00B37FE4"/>
    <w:rsid w:val="00B50A84"/>
    <w:rsid w:val="00B80DDD"/>
    <w:rsid w:val="00B81E4D"/>
    <w:rsid w:val="00B824D3"/>
    <w:rsid w:val="00B95A82"/>
    <w:rsid w:val="00BB0C38"/>
    <w:rsid w:val="00BB7CE6"/>
    <w:rsid w:val="00BC68E0"/>
    <w:rsid w:val="00BE396D"/>
    <w:rsid w:val="00BE6438"/>
    <w:rsid w:val="00C01713"/>
    <w:rsid w:val="00C134BE"/>
    <w:rsid w:val="00C22323"/>
    <w:rsid w:val="00C3101C"/>
    <w:rsid w:val="00C331CE"/>
    <w:rsid w:val="00C3700E"/>
    <w:rsid w:val="00C51FF7"/>
    <w:rsid w:val="00C6674B"/>
    <w:rsid w:val="00C83852"/>
    <w:rsid w:val="00C86CEE"/>
    <w:rsid w:val="00CA1AAF"/>
    <w:rsid w:val="00CA3D01"/>
    <w:rsid w:val="00CA510B"/>
    <w:rsid w:val="00CA6A52"/>
    <w:rsid w:val="00CC1E56"/>
    <w:rsid w:val="00CD2E85"/>
    <w:rsid w:val="00CE0242"/>
    <w:rsid w:val="00CE6629"/>
    <w:rsid w:val="00CF20AF"/>
    <w:rsid w:val="00D03A59"/>
    <w:rsid w:val="00D203EE"/>
    <w:rsid w:val="00D377C7"/>
    <w:rsid w:val="00D37A9D"/>
    <w:rsid w:val="00D43F2A"/>
    <w:rsid w:val="00D542C3"/>
    <w:rsid w:val="00D64F05"/>
    <w:rsid w:val="00D67E94"/>
    <w:rsid w:val="00D92249"/>
    <w:rsid w:val="00D92365"/>
    <w:rsid w:val="00D9660F"/>
    <w:rsid w:val="00DB2E0A"/>
    <w:rsid w:val="00DE4649"/>
    <w:rsid w:val="00DE5D7F"/>
    <w:rsid w:val="00E02AD3"/>
    <w:rsid w:val="00E10772"/>
    <w:rsid w:val="00E13E01"/>
    <w:rsid w:val="00E1448F"/>
    <w:rsid w:val="00E17A43"/>
    <w:rsid w:val="00E330D6"/>
    <w:rsid w:val="00E348D3"/>
    <w:rsid w:val="00E37AA3"/>
    <w:rsid w:val="00E429EC"/>
    <w:rsid w:val="00E7379E"/>
    <w:rsid w:val="00E90118"/>
    <w:rsid w:val="00E954AF"/>
    <w:rsid w:val="00EA13D2"/>
    <w:rsid w:val="00EA29AC"/>
    <w:rsid w:val="00EC7A82"/>
    <w:rsid w:val="00EE0234"/>
    <w:rsid w:val="00EE1170"/>
    <w:rsid w:val="00EE433F"/>
    <w:rsid w:val="00EE6D37"/>
    <w:rsid w:val="00EF4660"/>
    <w:rsid w:val="00F00880"/>
    <w:rsid w:val="00F06149"/>
    <w:rsid w:val="00F338EC"/>
    <w:rsid w:val="00F37E67"/>
    <w:rsid w:val="00F54060"/>
    <w:rsid w:val="00F542D4"/>
    <w:rsid w:val="00F5498D"/>
    <w:rsid w:val="00F606AB"/>
    <w:rsid w:val="00F61FD9"/>
    <w:rsid w:val="00F70993"/>
    <w:rsid w:val="00F93870"/>
    <w:rsid w:val="00FA1A39"/>
    <w:rsid w:val="00FB2E83"/>
    <w:rsid w:val="00FE33F4"/>
    <w:rsid w:val="00FE352F"/>
    <w:rsid w:val="00FF2073"/>
    <w:rsid w:val="00FF5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79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940"/>
  </w:style>
  <w:style w:type="paragraph" w:styleId="Fuzeile">
    <w:name w:val="footer"/>
    <w:basedOn w:val="Standard"/>
    <w:link w:val="FuzeileZchn"/>
    <w:uiPriority w:val="99"/>
    <w:semiHidden/>
    <w:unhideWhenUsed/>
    <w:rsid w:val="0049794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97940"/>
  </w:style>
  <w:style w:type="paragraph" w:styleId="Sprechblasentext">
    <w:name w:val="Balloon Text"/>
    <w:basedOn w:val="Standard"/>
    <w:link w:val="SprechblasentextZchn"/>
    <w:uiPriority w:val="99"/>
    <w:semiHidden/>
    <w:unhideWhenUsed/>
    <w:rsid w:val="00CA3D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D01"/>
    <w:rPr>
      <w:rFonts w:ascii="Tahoma" w:hAnsi="Tahoma" w:cs="Tahoma"/>
      <w:sz w:val="16"/>
      <w:szCs w:val="16"/>
    </w:rPr>
  </w:style>
  <w:style w:type="paragraph" w:styleId="Funotentext">
    <w:name w:val="footnote text"/>
    <w:basedOn w:val="Standard"/>
    <w:link w:val="FunotentextZchn"/>
    <w:uiPriority w:val="99"/>
    <w:semiHidden/>
    <w:unhideWhenUsed/>
    <w:rsid w:val="00A4496C"/>
    <w:pPr>
      <w:spacing w:after="0" w:line="240" w:lineRule="auto"/>
    </w:pPr>
  </w:style>
  <w:style w:type="character" w:customStyle="1" w:styleId="FunotentextZchn">
    <w:name w:val="Fußnotentext Zchn"/>
    <w:basedOn w:val="Absatz-Standardschriftart"/>
    <w:link w:val="Funotentext"/>
    <w:uiPriority w:val="99"/>
    <w:semiHidden/>
    <w:rsid w:val="00A4496C"/>
  </w:style>
  <w:style w:type="character" w:styleId="Funotenzeichen">
    <w:name w:val="footnote reference"/>
    <w:basedOn w:val="Absatz-Standardschriftart"/>
    <w:uiPriority w:val="99"/>
    <w:semiHidden/>
    <w:unhideWhenUsed/>
    <w:rsid w:val="00A4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2024">
      <w:bodyDiv w:val="1"/>
      <w:marLeft w:val="0"/>
      <w:marRight w:val="0"/>
      <w:marTop w:val="0"/>
      <w:marBottom w:val="0"/>
      <w:divBdr>
        <w:top w:val="none" w:sz="0" w:space="0" w:color="auto"/>
        <w:left w:val="none" w:sz="0" w:space="0" w:color="auto"/>
        <w:bottom w:val="none" w:sz="0" w:space="0" w:color="auto"/>
        <w:right w:val="none" w:sz="0" w:space="0" w:color="auto"/>
      </w:divBdr>
    </w:div>
    <w:div w:id="14810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97F3-4528-4B12-837B-EA40CDF2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3740</Words>
  <Characters>23567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2011-05-11T13:55:00Z</cp:lastPrinted>
  <dcterms:created xsi:type="dcterms:W3CDTF">2011-05-12T06:36:00Z</dcterms:created>
  <dcterms:modified xsi:type="dcterms:W3CDTF">2012-08-01T14:15:00Z</dcterms:modified>
</cp:coreProperties>
</file>