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EA3" w:rsidRPr="00A75718" w:rsidRDefault="001D5E53" w:rsidP="00DB17F3">
      <w:pPr>
        <w:spacing w:after="0"/>
        <w:jc w:val="both"/>
        <w:rPr>
          <w:b/>
        </w:rPr>
      </w:pPr>
      <w:r>
        <w:rPr>
          <w:b/>
        </w:rPr>
        <w:t>(</w:t>
      </w:r>
      <w:r w:rsidR="00A44A37">
        <w:rPr>
          <w:b/>
        </w:rPr>
        <w:t>9</w:t>
      </w:r>
      <w:r>
        <w:rPr>
          <w:b/>
        </w:rPr>
        <w:t>)</w:t>
      </w:r>
      <w:r w:rsidR="004D6EA3" w:rsidRPr="00A75718">
        <w:rPr>
          <w:b/>
        </w:rPr>
        <w:t xml:space="preserve"> Texte </w:t>
      </w:r>
      <w:r w:rsidR="00AF2250" w:rsidRPr="00A75718">
        <w:rPr>
          <w:b/>
        </w:rPr>
        <w:t>4</w:t>
      </w:r>
      <w:r w:rsidR="004D6EA3" w:rsidRPr="00A75718">
        <w:rPr>
          <w:b/>
        </w:rPr>
        <w:t xml:space="preserve">: </w:t>
      </w:r>
      <w:r w:rsidR="00117EE6" w:rsidRPr="00A75718">
        <w:rPr>
          <w:b/>
        </w:rPr>
        <w:t xml:space="preserve">Artistik und Analyse – </w:t>
      </w:r>
      <w:r w:rsidR="00E61552">
        <w:rPr>
          <w:b/>
        </w:rPr>
        <w:t>D</w:t>
      </w:r>
      <w:r w:rsidR="00117EE6" w:rsidRPr="00A75718">
        <w:rPr>
          <w:b/>
        </w:rPr>
        <w:t xml:space="preserve">ie </w:t>
      </w:r>
      <w:r>
        <w:rPr>
          <w:b/>
        </w:rPr>
        <w:t xml:space="preserve">Darstellung der </w:t>
      </w:r>
      <w:proofErr w:type="spellStart"/>
      <w:r w:rsidR="00117EE6" w:rsidRPr="00A75718">
        <w:rPr>
          <w:b/>
        </w:rPr>
        <w:t>Bartholomäusnacht</w:t>
      </w:r>
      <w:proofErr w:type="spellEnd"/>
      <w:r w:rsidR="00117EE6" w:rsidRPr="00A75718">
        <w:rPr>
          <w:b/>
        </w:rPr>
        <w:t xml:space="preserve"> in H</w:t>
      </w:r>
      <w:r w:rsidR="004D6EA3" w:rsidRPr="00A75718">
        <w:rPr>
          <w:b/>
        </w:rPr>
        <w:t xml:space="preserve">einrich </w:t>
      </w:r>
      <w:bookmarkStart w:id="0" w:name="_GoBack"/>
      <w:bookmarkEnd w:id="0"/>
      <w:r w:rsidR="004D6EA3" w:rsidRPr="00A75718">
        <w:rPr>
          <w:b/>
        </w:rPr>
        <w:t>Mann</w:t>
      </w:r>
      <w:r w:rsidR="00117EE6" w:rsidRPr="00A75718">
        <w:rPr>
          <w:b/>
        </w:rPr>
        <w:t>s</w:t>
      </w:r>
      <w:r w:rsidR="004D6EA3" w:rsidRPr="00A75718">
        <w:rPr>
          <w:b/>
        </w:rPr>
        <w:t xml:space="preserve"> </w:t>
      </w:r>
      <w:r w:rsidR="00117EE6" w:rsidRPr="00A75718">
        <w:rPr>
          <w:b/>
          <w:i/>
        </w:rPr>
        <w:t xml:space="preserve">Die Jugend des Königs </w:t>
      </w:r>
      <w:r w:rsidR="004D6EA3" w:rsidRPr="00A75718">
        <w:rPr>
          <w:b/>
          <w:i/>
        </w:rPr>
        <w:t>Henri</w:t>
      </w:r>
      <w:r w:rsidR="00117EE6" w:rsidRPr="00A75718">
        <w:rPr>
          <w:b/>
          <w:i/>
        </w:rPr>
        <w:t xml:space="preserve"> </w:t>
      </w:r>
      <w:proofErr w:type="spellStart"/>
      <w:r w:rsidR="004D6EA3" w:rsidRPr="00A75718">
        <w:rPr>
          <w:b/>
          <w:i/>
        </w:rPr>
        <w:t>Quatre</w:t>
      </w:r>
      <w:proofErr w:type="spellEnd"/>
      <w:r w:rsidR="004D6EA3" w:rsidRPr="00A75718">
        <w:rPr>
          <w:b/>
        </w:rPr>
        <w:t xml:space="preserve"> </w:t>
      </w:r>
    </w:p>
    <w:p w:rsidR="004D6EA3" w:rsidRDefault="004D6EA3" w:rsidP="00DB17F3">
      <w:pPr>
        <w:spacing w:after="0"/>
        <w:jc w:val="both"/>
      </w:pPr>
    </w:p>
    <w:p w:rsidR="00FC61CF" w:rsidRDefault="00153691" w:rsidP="00DB17F3">
      <w:pPr>
        <w:spacing w:after="0"/>
        <w:jc w:val="both"/>
      </w:pPr>
      <w:r>
        <w:t xml:space="preserve">Heinrich Mann ist </w:t>
      </w:r>
      <w:r w:rsidR="00F61124">
        <w:t>d</w:t>
      </w:r>
      <w:r w:rsidR="007C7235">
        <w:t>i</w:t>
      </w:r>
      <w:r w:rsidR="00F61124">
        <w:t xml:space="preserve">e </w:t>
      </w:r>
      <w:r w:rsidR="007C7235">
        <w:t>zentrale Gestalt</w:t>
      </w:r>
      <w:r w:rsidR="00F61124">
        <w:t xml:space="preserve"> des </w:t>
      </w:r>
      <w:r w:rsidR="007C7235">
        <w:t>sich entfaltenden ‚</w:t>
      </w:r>
      <w:r w:rsidR="00F61124">
        <w:t>literarischen</w:t>
      </w:r>
      <w:r>
        <w:t xml:space="preserve"> E</w:t>
      </w:r>
      <w:r w:rsidR="00F61124">
        <w:t>xils</w:t>
      </w:r>
      <w:r w:rsidR="007C7235">
        <w:t>‘</w:t>
      </w:r>
      <w:r w:rsidR="00F61124">
        <w:t>. Sein</w:t>
      </w:r>
      <w:r w:rsidR="007A45DD">
        <w:t xml:space="preserve"> i</w:t>
      </w:r>
      <w:r>
        <w:t xml:space="preserve">m Herbst 1933 im </w:t>
      </w:r>
      <w:proofErr w:type="spellStart"/>
      <w:r>
        <w:t>Querido</w:t>
      </w:r>
      <w:proofErr w:type="spellEnd"/>
      <w:r>
        <w:t xml:space="preserve"> </w:t>
      </w:r>
      <w:r w:rsidR="00F61124">
        <w:t>Verlag ersch</w:t>
      </w:r>
      <w:r w:rsidR="007C7235">
        <w:t>e</w:t>
      </w:r>
      <w:r w:rsidR="00F61124">
        <w:t>ine</w:t>
      </w:r>
      <w:r w:rsidR="007C7235">
        <w:t>nd</w:t>
      </w:r>
      <w:r w:rsidR="00F61124">
        <w:t>er</w:t>
      </w:r>
      <w:r>
        <w:t xml:space="preserve"> Es</w:t>
      </w:r>
      <w:r w:rsidR="007C7235">
        <w:t>s</w:t>
      </w:r>
      <w:r>
        <w:t xml:space="preserve">ayband </w:t>
      </w:r>
      <w:r>
        <w:rPr>
          <w:i/>
        </w:rPr>
        <w:t xml:space="preserve">Der </w:t>
      </w:r>
      <w:proofErr w:type="spellStart"/>
      <w:r>
        <w:rPr>
          <w:i/>
        </w:rPr>
        <w:t>Haß</w:t>
      </w:r>
      <w:proofErr w:type="spellEnd"/>
      <w:r w:rsidR="00FE6E34">
        <w:rPr>
          <w:i/>
        </w:rPr>
        <w:t xml:space="preserve"> </w:t>
      </w:r>
      <w:r w:rsidR="00FC61CF" w:rsidRPr="00FC61CF">
        <w:t>stöß</w:t>
      </w:r>
      <w:r>
        <w:t xml:space="preserve">t </w:t>
      </w:r>
      <w:r w:rsidR="00FC61CF">
        <w:t>beim überwiegenden Teil</w:t>
      </w:r>
      <w:r w:rsidR="000136A5">
        <w:t xml:space="preserve"> de</w:t>
      </w:r>
      <w:r w:rsidR="00FC61CF">
        <w:t>r</w:t>
      </w:r>
      <w:r w:rsidR="000136A5">
        <w:t xml:space="preserve"> Emigra</w:t>
      </w:r>
      <w:r w:rsidR="00FC61CF">
        <w:t>tion</w:t>
      </w:r>
      <w:r w:rsidR="000136A5">
        <w:t xml:space="preserve"> </w:t>
      </w:r>
      <w:r w:rsidR="00FC61CF">
        <w:t>auf positive Resonanz</w:t>
      </w:r>
      <w:r w:rsidR="00FE6E34">
        <w:t xml:space="preserve">; </w:t>
      </w:r>
      <w:r w:rsidR="00FC61CF">
        <w:t xml:space="preserve">andererseits </w:t>
      </w:r>
      <w:r w:rsidR="00FE6E34">
        <w:t>w</w:t>
      </w:r>
      <w:r w:rsidR="007C7235">
        <w:t>i</w:t>
      </w:r>
      <w:r w:rsidR="00FE6E34">
        <w:t>rd</w:t>
      </w:r>
      <w:r>
        <w:t xml:space="preserve"> </w:t>
      </w:r>
      <w:r w:rsidR="00FC61CF">
        <w:t xml:space="preserve">er </w:t>
      </w:r>
      <w:r>
        <w:t xml:space="preserve">jedoch </w:t>
      </w:r>
      <w:r w:rsidR="00FE6E34">
        <w:t xml:space="preserve">nicht </w:t>
      </w:r>
      <w:r w:rsidR="00FC61CF">
        <w:t>bloß</w:t>
      </w:r>
      <w:r>
        <w:t xml:space="preserve"> von Thomas Mann</w:t>
      </w:r>
      <w:r w:rsidR="00FE6E34">
        <w:t xml:space="preserve">, </w:t>
      </w:r>
      <w:r w:rsidR="00FC61CF">
        <w:t>bei dem eine gewisse Eifersucht auf den Erfolg des Bruders unterstell</w:t>
      </w:r>
      <w:r w:rsidR="000B2A77">
        <w:t>t werd</w:t>
      </w:r>
      <w:r w:rsidR="00FC61CF">
        <w:t xml:space="preserve">en kann, </w:t>
      </w:r>
      <w:r w:rsidR="00FE6E34">
        <w:t xml:space="preserve">sondern </w:t>
      </w:r>
      <w:r>
        <w:t>auch von Tucholsky und anderen, Heinrich Mann politisch nahestehenden Freunden</w:t>
      </w:r>
      <w:r w:rsidR="000B2A77">
        <w:t>,</w:t>
      </w:r>
      <w:r>
        <w:t xml:space="preserve"> kritisch </w:t>
      </w:r>
      <w:r w:rsidR="00FC61CF">
        <w:t>kommentiert</w:t>
      </w:r>
      <w:r>
        <w:t xml:space="preserve">. </w:t>
      </w:r>
      <w:r w:rsidR="007C7235">
        <w:t xml:space="preserve">Der </w:t>
      </w:r>
      <w:r w:rsidR="00FC61CF">
        <w:t>Band</w:t>
      </w:r>
      <w:r w:rsidR="007C7235">
        <w:t xml:space="preserve"> ist – so </w:t>
      </w:r>
      <w:r w:rsidR="000B2A77">
        <w:t>das Urteil</w:t>
      </w:r>
      <w:r w:rsidR="007C7235">
        <w:t xml:space="preserve"> der Kritiker – </w:t>
      </w:r>
      <w:r w:rsidR="000136A5">
        <w:t xml:space="preserve">nichts weiter als </w:t>
      </w:r>
      <w:r w:rsidR="007C7235">
        <w:t>eine A</w:t>
      </w:r>
      <w:r w:rsidR="007C7235">
        <w:t>n</w:t>
      </w:r>
      <w:r w:rsidR="007C7235">
        <w:t>sammlung von Polemik, Plattitüden und fragwürdigen Verallgemeinerungen.</w:t>
      </w:r>
      <w:r w:rsidR="000136A5">
        <w:t xml:space="preserve"> </w:t>
      </w:r>
    </w:p>
    <w:p w:rsidR="003722A7" w:rsidRDefault="004664F7" w:rsidP="00DB17F3">
      <w:pPr>
        <w:spacing w:after="0"/>
        <w:ind w:firstLine="708"/>
        <w:jc w:val="both"/>
      </w:pPr>
      <w:r>
        <w:t>W</w:t>
      </w:r>
      <w:r w:rsidR="000B2A77">
        <w:t xml:space="preserve">elche stilistischen und argumentativen Charakteristika die Kritik </w:t>
      </w:r>
      <w:r>
        <w:t>geradezu herau</w:t>
      </w:r>
      <w:r>
        <w:t>s</w:t>
      </w:r>
      <w:r>
        <w:t>fordern</w:t>
      </w:r>
      <w:r w:rsidR="000B2A77">
        <w:t>,</w:t>
      </w:r>
      <w:r w:rsidR="000136A5">
        <w:t xml:space="preserve"> wird </w:t>
      </w:r>
      <w:r w:rsidR="003722A7">
        <w:t>exemplarisch</w:t>
      </w:r>
      <w:r w:rsidR="000136A5">
        <w:t xml:space="preserve"> am einleitenden Satz des zentralen Essays</w:t>
      </w:r>
      <w:r w:rsidR="000B2A77">
        <w:t xml:space="preserve"> </w:t>
      </w:r>
      <w:r w:rsidR="004C1564">
        <w:t>„</w:t>
      </w:r>
      <w:r w:rsidR="000B2A77">
        <w:t>Der große Mann</w:t>
      </w:r>
      <w:r w:rsidR="004C1564">
        <w:t>“</w:t>
      </w:r>
      <w:r w:rsidR="000136A5">
        <w:t xml:space="preserve">, einem Portrait des </w:t>
      </w:r>
      <w:r w:rsidR="004C1564">
        <w:t>„</w:t>
      </w:r>
      <w:r w:rsidR="000136A5">
        <w:t>Führers und Reichskanzlers</w:t>
      </w:r>
      <w:r w:rsidR="004C1564">
        <w:t>“</w:t>
      </w:r>
      <w:r w:rsidR="000136A5">
        <w:t xml:space="preserve"> Adolf Hitler, erkennbar: </w:t>
      </w:r>
      <w:r w:rsidR="004C1564">
        <w:t>„</w:t>
      </w:r>
      <w:r w:rsidR="000136A5">
        <w:t>Der große Mann ist Österreicher, das zeichnet ihn für das ganze Leben</w:t>
      </w:r>
      <w:r w:rsidR="004C1564">
        <w:t>“</w:t>
      </w:r>
      <w:r w:rsidR="000136A5">
        <w:t>.</w:t>
      </w:r>
      <w:r w:rsidR="000136A5">
        <w:rPr>
          <w:rStyle w:val="Funotenzeichen"/>
        </w:rPr>
        <w:footnoteReference w:id="1"/>
      </w:r>
      <w:r w:rsidR="000136A5">
        <w:t xml:space="preserve"> </w:t>
      </w:r>
      <w:r w:rsidR="003722A7">
        <w:t>D</w:t>
      </w:r>
      <w:r w:rsidR="002852E9">
        <w:t>ie</w:t>
      </w:r>
      <w:r w:rsidR="000B2A77">
        <w:t xml:space="preserve"> bis zur Groteske gesteigerte</w:t>
      </w:r>
      <w:r w:rsidR="007C7235">
        <w:t xml:space="preserve"> </w:t>
      </w:r>
      <w:r w:rsidR="002852E9">
        <w:t xml:space="preserve">Apostrophierung Hitlers als </w:t>
      </w:r>
      <w:r w:rsidR="004C1564">
        <w:t>„</w:t>
      </w:r>
      <w:r w:rsidR="00FE6E34">
        <w:t>d</w:t>
      </w:r>
      <w:r w:rsidR="002852E9">
        <w:t>er große Mann</w:t>
      </w:r>
      <w:r w:rsidR="004C1564">
        <w:t>“</w:t>
      </w:r>
      <w:r w:rsidR="002852E9">
        <w:t xml:space="preserve"> ist </w:t>
      </w:r>
      <w:r w:rsidR="000B2A77">
        <w:t>befremdlich</w:t>
      </w:r>
      <w:r w:rsidR="00FE6E34">
        <w:t>,</w:t>
      </w:r>
      <w:r w:rsidR="002852E9">
        <w:t xml:space="preserve"> </w:t>
      </w:r>
      <w:r w:rsidR="00FE6E34">
        <w:t xml:space="preserve">sprachlich schwach </w:t>
      </w:r>
      <w:r w:rsidR="002852E9">
        <w:t>und anal</w:t>
      </w:r>
      <w:r w:rsidR="002852E9">
        <w:t>y</w:t>
      </w:r>
      <w:r w:rsidR="002852E9">
        <w:t xml:space="preserve">tisch inhaltsleer. </w:t>
      </w:r>
      <w:r w:rsidR="000B2A77">
        <w:t>Das</w:t>
      </w:r>
      <w:r w:rsidR="003722A7">
        <w:t>s Heinrich Mann</w:t>
      </w:r>
      <w:r w:rsidR="000B2A77">
        <w:t xml:space="preserve"> </w:t>
      </w:r>
      <w:r w:rsidR="003722A7">
        <w:t xml:space="preserve">hier </w:t>
      </w:r>
      <w:r w:rsidR="00F72C06">
        <w:t xml:space="preserve">vermutlich absichtsvoll </w:t>
      </w:r>
      <w:r w:rsidR="000B2A77">
        <w:t xml:space="preserve">mit Elementen der Komik operiert, erschließt sich </w:t>
      </w:r>
      <w:r w:rsidR="007079EC">
        <w:t>dem Rezipienten</w:t>
      </w:r>
      <w:r w:rsidR="000B2A77">
        <w:t xml:space="preserve"> nur </w:t>
      </w:r>
      <w:r w:rsidR="004F1161">
        <w:t>mit Mühe</w:t>
      </w:r>
      <w:r w:rsidR="000B2A77">
        <w:t xml:space="preserve">. </w:t>
      </w:r>
    </w:p>
    <w:p w:rsidR="00153691" w:rsidRDefault="002852E9" w:rsidP="00DB17F3">
      <w:pPr>
        <w:spacing w:after="0"/>
        <w:ind w:firstLine="708"/>
        <w:jc w:val="both"/>
      </w:pPr>
      <w:r>
        <w:t>Geradezu peinlich</w:t>
      </w:r>
      <w:r w:rsidR="000B2A77">
        <w:t xml:space="preserve"> </w:t>
      </w:r>
      <w:r>
        <w:t xml:space="preserve">ist die </w:t>
      </w:r>
      <w:r w:rsidR="000136A5">
        <w:t>Art und Weise, wie Heinrich Mann</w:t>
      </w:r>
      <w:r>
        <w:t xml:space="preserve"> </w:t>
      </w:r>
      <w:r w:rsidR="000B2A77">
        <w:t>anschließend ein</w:t>
      </w:r>
      <w:r w:rsidR="000136A5">
        <w:t xml:space="preserve"> </w:t>
      </w:r>
      <w:r w:rsidR="000B2A77">
        <w:t>probl</w:t>
      </w:r>
      <w:r w:rsidR="000B2A77">
        <w:t>e</w:t>
      </w:r>
      <w:r w:rsidR="000B2A77">
        <w:t xml:space="preserve">matisches, </w:t>
      </w:r>
      <w:r>
        <w:t xml:space="preserve">Österreich und </w:t>
      </w:r>
      <w:r w:rsidR="003722A7">
        <w:t>die Österreich</w:t>
      </w:r>
      <w:r w:rsidR="008D593B">
        <w:t>er</w:t>
      </w:r>
      <w:r>
        <w:t xml:space="preserve"> herabsetzende</w:t>
      </w:r>
      <w:r w:rsidR="000B2A77">
        <w:t>s</w:t>
      </w:r>
      <w:r>
        <w:t xml:space="preserve"> Stereotyp</w:t>
      </w:r>
      <w:r w:rsidR="008D593B">
        <w:t xml:space="preserve"> </w:t>
      </w:r>
      <w:r w:rsidR="003722A7">
        <w:t>einsetzt, um damit Hi</w:t>
      </w:r>
      <w:r w:rsidR="003722A7">
        <w:t>t</w:t>
      </w:r>
      <w:r w:rsidR="003722A7">
        <w:t xml:space="preserve">lers ambivalente Erscheinung: seine suggestive Massenwirkung in Verbindung </w:t>
      </w:r>
      <w:r w:rsidR="00754C8F">
        <w:t>mit</w:t>
      </w:r>
      <w:r w:rsidR="003722A7">
        <w:t xml:space="preserve"> </w:t>
      </w:r>
      <w:proofErr w:type="spellStart"/>
      <w:r w:rsidR="003722A7">
        <w:t>bohem</w:t>
      </w:r>
      <w:r w:rsidR="003722A7">
        <w:t>i</w:t>
      </w:r>
      <w:r w:rsidR="003722A7">
        <w:t>enhafte</w:t>
      </w:r>
      <w:r w:rsidR="00754C8F">
        <w:t>m</w:t>
      </w:r>
      <w:proofErr w:type="spellEnd"/>
      <w:r w:rsidR="003722A7">
        <w:t xml:space="preserve"> Gebaren</w:t>
      </w:r>
      <w:r w:rsidR="00754C8F">
        <w:t xml:space="preserve"> und Auftreten</w:t>
      </w:r>
      <w:r w:rsidR="003722A7">
        <w:t>, zu charakterisieren</w:t>
      </w:r>
      <w:r w:rsidR="008D593B">
        <w:t>:</w:t>
      </w:r>
    </w:p>
    <w:p w:rsidR="002852E9" w:rsidRDefault="004C1564" w:rsidP="00DB17F3">
      <w:pPr>
        <w:spacing w:after="0"/>
        <w:ind w:left="1134"/>
        <w:jc w:val="both"/>
      </w:pPr>
      <w:r>
        <w:t>„</w:t>
      </w:r>
      <w:r w:rsidR="002852E9">
        <w:t xml:space="preserve">Mit Recht sind die Österreicher beliebt wegen ihrer künstlerischen Veranlagung. Die Wurzel davon ist freilich </w:t>
      </w:r>
      <w:proofErr w:type="spellStart"/>
      <w:r w:rsidR="002852E9">
        <w:t>Komödianterei</w:t>
      </w:r>
      <w:proofErr w:type="spellEnd"/>
      <w:r w:rsidR="002852E9">
        <w:t>, und diese verrät einen Menschen, der sich über Wirklichkeiten hinwegtröstet, für das Leben den Schein nimmt und sich das Dasein, das sonst zu schwer auf ihm lasten würde, spielend leichter macht. Etwas zu viele bekannte Österreich</w:t>
      </w:r>
      <w:r w:rsidR="00844F53">
        <w:t>er</w:t>
      </w:r>
      <w:r w:rsidR="002852E9">
        <w:t xml:space="preserve"> waren Schauspieler, das ist festz</w:t>
      </w:r>
      <w:r w:rsidR="002852E9">
        <w:t>u</w:t>
      </w:r>
      <w:r w:rsidR="002852E9">
        <w:t>halten.</w:t>
      </w:r>
      <w:r w:rsidR="004F1161">
        <w:t xml:space="preserve"> </w:t>
      </w:r>
      <w:r w:rsidR="002852E9">
        <w:t xml:space="preserve">Die begabten Einwohner jener Gegenden haben oft etwas schnell </w:t>
      </w:r>
      <w:r w:rsidR="0068120C">
        <w:t>g</w:t>
      </w:r>
      <w:r w:rsidR="002852E9">
        <w:t>ewi</w:t>
      </w:r>
      <w:r w:rsidR="002852E9">
        <w:t>n</w:t>
      </w:r>
      <w:r w:rsidR="002852E9">
        <w:t>nendes [sic], und eb</w:t>
      </w:r>
      <w:r w:rsidR="00F4048E">
        <w:t>e</w:t>
      </w:r>
      <w:r w:rsidR="002852E9">
        <w:t>nso leicht enttäuschen sie auch. Wenige wahrhaft hervorr</w:t>
      </w:r>
      <w:r w:rsidR="002852E9">
        <w:t>a</w:t>
      </w:r>
      <w:r w:rsidR="002852E9">
        <w:t>gende Männer, sowohl Denker als Künstler, werden ausdrücklich ausgenommen. Der mittlere Österreicher indessen, wie sein unwandelbares, den Menschen verfä</w:t>
      </w:r>
      <w:r w:rsidR="002852E9">
        <w:t>l</w:t>
      </w:r>
      <w:r w:rsidR="002852E9">
        <w:t xml:space="preserve">schendes Reich ihn gestaltet hat, </w:t>
      </w:r>
      <w:proofErr w:type="spellStart"/>
      <w:r w:rsidR="002852E9">
        <w:t>mußte</w:t>
      </w:r>
      <w:proofErr w:type="spellEnd"/>
      <w:r w:rsidR="002852E9">
        <w:t xml:space="preserve"> seinerseits Krankheitskeime aussäen, w</w:t>
      </w:r>
      <w:r w:rsidR="002852E9">
        <w:t>o</w:t>
      </w:r>
      <w:r w:rsidR="002852E9">
        <w:t>hin immer er seine Tätigkeit verlegte.</w:t>
      </w:r>
      <w:r>
        <w:t>“</w:t>
      </w:r>
      <w:r w:rsidR="004F1161">
        <w:rPr>
          <w:rStyle w:val="Funotenzeichen"/>
        </w:rPr>
        <w:footnoteReference w:id="2"/>
      </w:r>
    </w:p>
    <w:p w:rsidR="002852E9" w:rsidRDefault="00F4048E" w:rsidP="00DB17F3">
      <w:pPr>
        <w:spacing w:after="0"/>
        <w:jc w:val="both"/>
      </w:pPr>
      <w:r>
        <w:t>Der Tonfall schwankt zwischen missverstandener Volkstümlichkeit und Apodiktik. Ei</w:t>
      </w:r>
      <w:r>
        <w:t>n</w:t>
      </w:r>
      <w:r>
        <w:t>schränkungen, die für die Akzeptanz d</w:t>
      </w:r>
      <w:r w:rsidR="00835D74">
        <w:t>ies</w:t>
      </w:r>
      <w:r>
        <w:t>e</w:t>
      </w:r>
      <w:r w:rsidR="00835D74">
        <w:t>r</w:t>
      </w:r>
      <w:r>
        <w:t xml:space="preserve"> </w:t>
      </w:r>
      <w:r w:rsidR="00835D74">
        <w:t>Äußerung</w:t>
      </w:r>
      <w:r>
        <w:t xml:space="preserve"> entscheidend sind, werden </w:t>
      </w:r>
      <w:r w:rsidR="00011217">
        <w:t>von Hei</w:t>
      </w:r>
      <w:r w:rsidR="00011217">
        <w:t>n</w:t>
      </w:r>
      <w:r w:rsidR="00011217">
        <w:t xml:space="preserve">rich Mann </w:t>
      </w:r>
      <w:r>
        <w:t xml:space="preserve">mit einer Beiläufigkeit geäußert, die deplaciert ist. </w:t>
      </w:r>
      <w:r w:rsidR="00835D74">
        <w:t>S</w:t>
      </w:r>
      <w:r>
        <w:t xml:space="preserve">elbst wenn man </w:t>
      </w:r>
      <w:r w:rsidR="00835D74">
        <w:t>unterstell</w:t>
      </w:r>
      <w:r>
        <w:t xml:space="preserve">t, dass </w:t>
      </w:r>
      <w:r w:rsidR="00011217">
        <w:t>er</w:t>
      </w:r>
      <w:r>
        <w:t xml:space="preserve"> </w:t>
      </w:r>
      <w:r w:rsidR="00835D74">
        <w:t>die Gestalt</w:t>
      </w:r>
      <w:r>
        <w:t xml:space="preserve"> </w:t>
      </w:r>
      <w:r w:rsidR="00011217">
        <w:t xml:space="preserve">Hitlers </w:t>
      </w:r>
      <w:r>
        <w:t>satirisch-karikaturistisch überzeichnet, wird die Argumentation damit nicht einsichtiger. Ihr fehlt die soziologische, analytische Fundierung</w:t>
      </w:r>
      <w:r w:rsidR="00754C8F">
        <w:t xml:space="preserve">. Die Kritik ist </w:t>
      </w:r>
      <w:r w:rsidR="00011217">
        <w:t xml:space="preserve">ganz und gar </w:t>
      </w:r>
      <w:r w:rsidR="00754C8F">
        <w:t>auf die Person gerichtet. Hier wird nicht geurteilt, sondern – so der erste Ei</w:t>
      </w:r>
      <w:r w:rsidR="00754C8F">
        <w:t>n</w:t>
      </w:r>
      <w:r w:rsidR="00754C8F">
        <w:t xml:space="preserve">druck </w:t>
      </w:r>
      <w:r w:rsidR="00844F53">
        <w:t>– d</w:t>
      </w:r>
      <w:r w:rsidR="00754C8F">
        <w:t>enunziert</w:t>
      </w:r>
      <w:r>
        <w:t>:</w:t>
      </w:r>
    </w:p>
    <w:p w:rsidR="00F4048E" w:rsidRDefault="004C1564" w:rsidP="00DB17F3">
      <w:pPr>
        <w:spacing w:after="0"/>
        <w:ind w:left="1134"/>
        <w:jc w:val="both"/>
      </w:pPr>
      <w:r>
        <w:t>„</w:t>
      </w:r>
      <w:r w:rsidR="00F4048E">
        <w:t>Er [der große Mann, also Hitler] hatte ganz richtig bei den reifen Frauen ang</w:t>
      </w:r>
      <w:r w:rsidR="00F4048E">
        <w:t>e</w:t>
      </w:r>
      <w:r w:rsidR="00F4048E">
        <w:t>fangen; sie boten sich ihm als erste Stützen an. Seiner Sendung zuliebe ve</w:t>
      </w:r>
      <w:r w:rsidR="00F4048E">
        <w:t>r</w:t>
      </w:r>
      <w:r w:rsidR="00F4048E">
        <w:t xml:space="preserve">schmähte er sie nicht, bevorzugte freilich bei weitem die männliche </w:t>
      </w:r>
      <w:proofErr w:type="spellStart"/>
      <w:r w:rsidR="00F4048E">
        <w:t>Draufgängerei</w:t>
      </w:r>
      <w:proofErr w:type="spellEnd"/>
      <w:r w:rsidR="00F4048E">
        <w:t xml:space="preserve"> </w:t>
      </w:r>
      <w:r w:rsidR="00F4048E">
        <w:lastRenderedPageBreak/>
        <w:t xml:space="preserve">der Knaben. Er selbst bezauberte hauptsächlich mit weiblichen Reizen besonderer Art. Gleich der Straßenvenus bekam er seine ganze Schönheit erst am Rande des Mordes und mit Schaum vor dem Mund. Dann keuchten die Massen unter seinem überwältigenden Ansturm, und rückhaltlos ergaben sie sich diesem fürchterlichen </w:t>
      </w:r>
      <w:proofErr w:type="spellStart"/>
      <w:r w:rsidR="00F4048E">
        <w:t>sex-appeal</w:t>
      </w:r>
      <w:proofErr w:type="spellEnd"/>
      <w:r w:rsidR="00F4048E">
        <w:t>.</w:t>
      </w:r>
      <w:r>
        <w:t>“</w:t>
      </w:r>
      <w:r w:rsidR="00011217">
        <w:rPr>
          <w:rStyle w:val="Funotenzeichen"/>
        </w:rPr>
        <w:footnoteReference w:id="3"/>
      </w:r>
    </w:p>
    <w:p w:rsidR="00924C1E" w:rsidRDefault="00FB10C5" w:rsidP="00DB17F3">
      <w:pPr>
        <w:spacing w:after="0"/>
        <w:jc w:val="both"/>
      </w:pPr>
      <w:r>
        <w:t>Biografische Fakten</w:t>
      </w:r>
      <w:r w:rsidR="00754C8F">
        <w:t>:</w:t>
      </w:r>
      <w:r>
        <w:t xml:space="preserve"> Hitlers Entree in die Münchner </w:t>
      </w:r>
      <w:r w:rsidR="004C1564">
        <w:t>„</w:t>
      </w:r>
      <w:r>
        <w:t>gute Gesellschaft</w:t>
      </w:r>
      <w:r w:rsidR="004C1564">
        <w:t>“</w:t>
      </w:r>
      <w:r>
        <w:t>, d</w:t>
      </w:r>
      <w:r w:rsidR="00B22914">
        <w:t>as</w:t>
      </w:r>
      <w:r>
        <w:t xml:space="preserve"> durch </w:t>
      </w:r>
      <w:r w:rsidR="00B22914">
        <w:t xml:space="preserve">Helene </w:t>
      </w:r>
      <w:r>
        <w:t>Bechstein</w:t>
      </w:r>
      <w:r w:rsidR="00B22914">
        <w:t>, Erna Hanfstaengl</w:t>
      </w:r>
      <w:r>
        <w:t xml:space="preserve"> und </w:t>
      </w:r>
      <w:r w:rsidR="00B22914">
        <w:t>Elsa Bruckmann</w:t>
      </w:r>
      <w:r>
        <w:t xml:space="preserve"> ermöglicht wurde</w:t>
      </w:r>
      <w:r w:rsidR="00B22914">
        <w:t>,</w:t>
      </w:r>
      <w:r w:rsidR="00B22914">
        <w:rPr>
          <w:rStyle w:val="Funotenzeichen"/>
        </w:rPr>
        <w:footnoteReference w:id="4"/>
      </w:r>
      <w:r>
        <w:t xml:space="preserve"> und seine </w:t>
      </w:r>
      <w:r w:rsidR="00844F53">
        <w:t xml:space="preserve">persönliche </w:t>
      </w:r>
      <w:r w:rsidR="00835D74">
        <w:t>Verbind</w:t>
      </w:r>
      <w:r>
        <w:t xml:space="preserve">ung zum </w:t>
      </w:r>
      <w:r w:rsidR="00844F53">
        <w:t>Stabschef</w:t>
      </w:r>
      <w:r>
        <w:t xml:space="preserve"> der SA Ernst Röhm, dessen Homosexualität in den politischen Kreisen der Weimarer Republik bekannt war</w:t>
      </w:r>
      <w:r w:rsidR="008D593B">
        <w:t>,</w:t>
      </w:r>
      <w:r>
        <w:t xml:space="preserve"> werden </w:t>
      </w:r>
      <w:r w:rsidR="00011217">
        <w:t xml:space="preserve">von Heinrich Mann </w:t>
      </w:r>
      <w:r>
        <w:t>spektakulär ins Zentrum gestellt. Mit der Behauptung, da</w:t>
      </w:r>
      <w:r w:rsidR="0067519D">
        <w:t>ss</w:t>
      </w:r>
      <w:r>
        <w:t xml:space="preserve"> Hitler </w:t>
      </w:r>
      <w:r w:rsidR="004C1564">
        <w:t>„</w:t>
      </w:r>
      <w:r>
        <w:t xml:space="preserve">männliche </w:t>
      </w:r>
      <w:proofErr w:type="spellStart"/>
      <w:r>
        <w:t>Draufgängerei</w:t>
      </w:r>
      <w:proofErr w:type="spellEnd"/>
      <w:r>
        <w:t xml:space="preserve"> der Knaben</w:t>
      </w:r>
      <w:r w:rsidR="004C1564">
        <w:t>“</w:t>
      </w:r>
      <w:r>
        <w:t xml:space="preserve"> bevorzuge, unterstellt ihm </w:t>
      </w:r>
      <w:r w:rsidR="00835D74">
        <w:t xml:space="preserve">Heinrich Mann </w:t>
      </w:r>
      <w:r w:rsidR="00011217">
        <w:t>darüber hinaus</w:t>
      </w:r>
      <w:r w:rsidR="00754C8F">
        <w:t xml:space="preserve"> </w:t>
      </w:r>
      <w:r>
        <w:t>pädophile Neigungen, und er ve</w:t>
      </w:r>
      <w:r>
        <w:t>r</w:t>
      </w:r>
      <w:r>
        <w:t>bindet diese Behauptung mit einer sexualpolitisch allzu einfachen Erklärung von Hitlers ma</w:t>
      </w:r>
      <w:r>
        <w:t>s</w:t>
      </w:r>
      <w:r>
        <w:t xml:space="preserve">sensuggestiver </w:t>
      </w:r>
      <w:r w:rsidR="00011217">
        <w:t>Ausstrahl</w:t>
      </w:r>
      <w:r>
        <w:t xml:space="preserve">ung: </w:t>
      </w:r>
      <w:r w:rsidR="004C1564">
        <w:t>„</w:t>
      </w:r>
      <w:r>
        <w:t>Dann keuchten die Massen unter seinem überwältigenden A</w:t>
      </w:r>
      <w:r>
        <w:t>n</w:t>
      </w:r>
      <w:r>
        <w:t>sturm</w:t>
      </w:r>
      <w:r w:rsidR="004C1564">
        <w:t>“</w:t>
      </w:r>
      <w:r>
        <w:t xml:space="preserve">. </w:t>
      </w:r>
      <w:r w:rsidR="00754C8F">
        <w:t>Es</w:t>
      </w:r>
      <w:r>
        <w:t xml:space="preserve"> fehlt </w:t>
      </w:r>
      <w:r w:rsidR="00844F53">
        <w:t xml:space="preserve">auch hier </w:t>
      </w:r>
      <w:r>
        <w:t>das eigentlich analytische Moment. Stattdessen scheint sich Hei</w:t>
      </w:r>
      <w:r>
        <w:t>n</w:t>
      </w:r>
      <w:r>
        <w:t>rich Mann in die Deskription, in die Bildlichkeit, zu flüchten.</w:t>
      </w:r>
      <w:r w:rsidR="00D328F9">
        <w:t xml:space="preserve"> </w:t>
      </w:r>
    </w:p>
    <w:p w:rsidR="00153691" w:rsidRPr="00924C1E" w:rsidRDefault="00924C1E" w:rsidP="00DB17F3">
      <w:pPr>
        <w:spacing w:after="0"/>
        <w:ind w:firstLine="708"/>
        <w:jc w:val="both"/>
        <w:rPr>
          <w:i/>
          <w:spacing w:val="-3"/>
        </w:rPr>
      </w:pPr>
      <w:r>
        <w:t xml:space="preserve">Diese Mängel sind keineswegs akzidentell. </w:t>
      </w:r>
      <w:r w:rsidR="00D328F9">
        <w:rPr>
          <w:spacing w:val="-3"/>
        </w:rPr>
        <w:t xml:space="preserve">Heinrich Mann ist in seinem analytischen Instrumentarium </w:t>
      </w:r>
      <w:r>
        <w:rPr>
          <w:spacing w:val="-3"/>
        </w:rPr>
        <w:t xml:space="preserve">stark </w:t>
      </w:r>
      <w:r w:rsidR="00D328F9">
        <w:rPr>
          <w:spacing w:val="-3"/>
        </w:rPr>
        <w:t>vom 19. Jahrhundert geprägt.</w:t>
      </w:r>
      <w:r w:rsidR="00D328F9" w:rsidRPr="00D328F9">
        <w:rPr>
          <w:spacing w:val="-3"/>
        </w:rPr>
        <w:t xml:space="preserve"> </w:t>
      </w:r>
      <w:r w:rsidR="00D328F9">
        <w:rPr>
          <w:spacing w:val="-3"/>
        </w:rPr>
        <w:t>E</w:t>
      </w:r>
      <w:r>
        <w:rPr>
          <w:spacing w:val="-3"/>
        </w:rPr>
        <w:t>r operiert mit</w:t>
      </w:r>
      <w:r w:rsidR="00D328F9">
        <w:rPr>
          <w:spacing w:val="-3"/>
        </w:rPr>
        <w:t xml:space="preserve"> </w:t>
      </w:r>
      <w:r>
        <w:rPr>
          <w:spacing w:val="-3"/>
        </w:rPr>
        <w:t>einem sich so</w:t>
      </w:r>
      <w:r w:rsidR="00D328F9">
        <w:rPr>
          <w:spacing w:val="-3"/>
        </w:rPr>
        <w:t xml:space="preserve">wohl aus </w:t>
      </w:r>
      <w:proofErr w:type="gramStart"/>
      <w:r w:rsidR="00D328F9">
        <w:rPr>
          <w:spacing w:val="-3"/>
        </w:rPr>
        <w:t>ob</w:t>
      </w:r>
      <w:r w:rsidR="00D328F9">
        <w:rPr>
          <w:spacing w:val="-3"/>
        </w:rPr>
        <w:t>s</w:t>
      </w:r>
      <w:r w:rsidR="00D328F9">
        <w:rPr>
          <w:spacing w:val="-3"/>
        </w:rPr>
        <w:t>kuren</w:t>
      </w:r>
      <w:proofErr w:type="gramEnd"/>
      <w:r w:rsidR="00D328F9">
        <w:rPr>
          <w:spacing w:val="-3"/>
        </w:rPr>
        <w:t xml:space="preserve"> als auch prominenten Quellen speisenden</w:t>
      </w:r>
      <w:r>
        <w:rPr>
          <w:spacing w:val="-3"/>
        </w:rPr>
        <w:t>,</w:t>
      </w:r>
      <w:r w:rsidR="00D328F9">
        <w:rPr>
          <w:spacing w:val="-3"/>
        </w:rPr>
        <w:t xml:space="preserve"> psychologisch fundierten Lamarckismus</w:t>
      </w:r>
      <w:r w:rsidR="00D328F9">
        <w:rPr>
          <w:rStyle w:val="Funotenzeichen"/>
          <w:spacing w:val="-3"/>
        </w:rPr>
        <w:footnoteReference w:id="5"/>
      </w:r>
      <w:r>
        <w:rPr>
          <w:spacing w:val="-3"/>
        </w:rPr>
        <w:t xml:space="preserve"> sowie mit bestimmten</w:t>
      </w:r>
      <w:r w:rsidR="00D328F9">
        <w:rPr>
          <w:spacing w:val="-3"/>
        </w:rPr>
        <w:t xml:space="preserve"> </w:t>
      </w:r>
      <w:r>
        <w:rPr>
          <w:spacing w:val="-3"/>
        </w:rPr>
        <w:t xml:space="preserve">biologistischen </w:t>
      </w:r>
      <w:r w:rsidR="00D328F9">
        <w:rPr>
          <w:spacing w:val="-3"/>
        </w:rPr>
        <w:t>Residuen der im Ausgang des 19. Jahrhunderts aktuellen L</w:t>
      </w:r>
      <w:r w:rsidR="00D328F9">
        <w:rPr>
          <w:spacing w:val="-3"/>
        </w:rPr>
        <w:t>e</w:t>
      </w:r>
      <w:r w:rsidR="00D328F9">
        <w:rPr>
          <w:spacing w:val="-3"/>
        </w:rPr>
        <w:t>bensphilosophie.</w:t>
      </w:r>
      <w:r w:rsidR="00D328F9">
        <w:rPr>
          <w:rStyle w:val="Funotenzeichen"/>
          <w:spacing w:val="-3"/>
        </w:rPr>
        <w:footnoteReference w:id="6"/>
      </w:r>
      <w:r>
        <w:rPr>
          <w:spacing w:val="-3"/>
        </w:rPr>
        <w:t xml:space="preserve"> Diese Elemente sind </w:t>
      </w:r>
      <w:r w:rsidR="004664F7">
        <w:rPr>
          <w:spacing w:val="-3"/>
        </w:rPr>
        <w:t>auch noch</w:t>
      </w:r>
      <w:r w:rsidR="001D5E53">
        <w:rPr>
          <w:spacing w:val="-3"/>
        </w:rPr>
        <w:t xml:space="preserve"> </w:t>
      </w:r>
      <w:r>
        <w:rPr>
          <w:spacing w:val="-3"/>
        </w:rPr>
        <w:t>in der Essayistik</w:t>
      </w:r>
      <w:r w:rsidR="001D5E53">
        <w:rPr>
          <w:spacing w:val="-3"/>
        </w:rPr>
        <w:t xml:space="preserve"> der Weimarer Republik</w:t>
      </w:r>
      <w:r>
        <w:rPr>
          <w:spacing w:val="-3"/>
        </w:rPr>
        <w:t xml:space="preserve">, z.B. in dem </w:t>
      </w:r>
      <w:r w:rsidR="007079EC">
        <w:rPr>
          <w:spacing w:val="-3"/>
        </w:rPr>
        <w:t>B</w:t>
      </w:r>
      <w:r>
        <w:rPr>
          <w:spacing w:val="-3"/>
        </w:rPr>
        <w:t xml:space="preserve">and </w:t>
      </w:r>
      <w:r>
        <w:rPr>
          <w:i/>
          <w:spacing w:val="-3"/>
        </w:rPr>
        <w:t>Geist und Ta</w:t>
      </w:r>
      <w:r w:rsidR="00844F53">
        <w:rPr>
          <w:i/>
          <w:spacing w:val="-3"/>
        </w:rPr>
        <w:t>t</w:t>
      </w:r>
      <w:r>
        <w:rPr>
          <w:i/>
          <w:spacing w:val="-3"/>
        </w:rPr>
        <w:t xml:space="preserve"> </w:t>
      </w:r>
      <w:r w:rsidRPr="00924C1E">
        <w:rPr>
          <w:spacing w:val="-3"/>
        </w:rPr>
        <w:t xml:space="preserve">von </w:t>
      </w:r>
      <w:r w:rsidR="004002B8">
        <w:rPr>
          <w:spacing w:val="-3"/>
        </w:rPr>
        <w:t>1931</w:t>
      </w:r>
      <w:r w:rsidR="000B6C65">
        <w:rPr>
          <w:spacing w:val="-3"/>
        </w:rPr>
        <w:t>,</w:t>
      </w:r>
      <w:r>
        <w:rPr>
          <w:spacing w:val="-3"/>
        </w:rPr>
        <w:t xml:space="preserve"> </w:t>
      </w:r>
      <w:r w:rsidR="004664F7">
        <w:rPr>
          <w:spacing w:val="-3"/>
        </w:rPr>
        <w:t>erkennbar</w:t>
      </w:r>
      <w:r w:rsidR="00844F53">
        <w:rPr>
          <w:spacing w:val="-3"/>
        </w:rPr>
        <w:t xml:space="preserve">. Speziell </w:t>
      </w:r>
      <w:r w:rsidR="007079EC">
        <w:rPr>
          <w:spacing w:val="-3"/>
        </w:rPr>
        <w:t>in den hier</w:t>
      </w:r>
      <w:r>
        <w:rPr>
          <w:spacing w:val="-3"/>
        </w:rPr>
        <w:t xml:space="preserve"> </w:t>
      </w:r>
      <w:r w:rsidR="007079EC">
        <w:rPr>
          <w:spacing w:val="-3"/>
        </w:rPr>
        <w:t>präsentierten Biografien überwiegt jedoch</w:t>
      </w:r>
      <w:r w:rsidR="00E029AD">
        <w:rPr>
          <w:spacing w:val="-3"/>
        </w:rPr>
        <w:t xml:space="preserve"> </w:t>
      </w:r>
      <w:r w:rsidR="007079EC">
        <w:rPr>
          <w:spacing w:val="-3"/>
        </w:rPr>
        <w:t>das soziologisch-analytische Element, das durchaus Teil der L</w:t>
      </w:r>
      <w:r w:rsidR="00E029AD">
        <w:rPr>
          <w:spacing w:val="-3"/>
        </w:rPr>
        <w:t>ebensphilos</w:t>
      </w:r>
      <w:r w:rsidR="00E029AD">
        <w:rPr>
          <w:spacing w:val="-3"/>
        </w:rPr>
        <w:t>o</w:t>
      </w:r>
      <w:r w:rsidR="00E029AD">
        <w:rPr>
          <w:spacing w:val="-3"/>
        </w:rPr>
        <w:t>phi</w:t>
      </w:r>
      <w:r w:rsidR="007079EC">
        <w:rPr>
          <w:spacing w:val="-3"/>
        </w:rPr>
        <w:t>e</w:t>
      </w:r>
      <w:r w:rsidR="007079EC">
        <w:rPr>
          <w:rStyle w:val="Funotenzeichen"/>
          <w:spacing w:val="-3"/>
        </w:rPr>
        <w:footnoteReference w:id="7"/>
      </w:r>
      <w:r w:rsidR="00E029AD">
        <w:rPr>
          <w:spacing w:val="-3"/>
        </w:rPr>
        <w:t xml:space="preserve"> </w:t>
      </w:r>
      <w:r w:rsidR="007079EC">
        <w:rPr>
          <w:spacing w:val="-3"/>
        </w:rPr>
        <w:t>ist</w:t>
      </w:r>
      <w:r>
        <w:rPr>
          <w:spacing w:val="-3"/>
        </w:rPr>
        <w:t>.</w:t>
      </w:r>
      <w:r w:rsidRPr="00924C1E">
        <w:rPr>
          <w:i/>
          <w:spacing w:val="-3"/>
        </w:rPr>
        <w:t xml:space="preserve"> </w:t>
      </w:r>
    </w:p>
    <w:p w:rsidR="00835D74" w:rsidRDefault="00835D74" w:rsidP="00DB17F3">
      <w:pPr>
        <w:spacing w:after="0"/>
        <w:jc w:val="both"/>
        <w:rPr>
          <w:spacing w:val="-3"/>
        </w:rPr>
      </w:pPr>
    </w:p>
    <w:p w:rsidR="00D328F9" w:rsidRDefault="00D328F9" w:rsidP="00DB17F3">
      <w:pPr>
        <w:spacing w:after="0"/>
        <w:jc w:val="both"/>
        <w:rPr>
          <w:spacing w:val="-3"/>
        </w:rPr>
      </w:pPr>
      <w:r>
        <w:rPr>
          <w:spacing w:val="-3"/>
        </w:rPr>
        <w:tab/>
        <w:t>Man könnte es bei dieser Feststellung belassen und Heinrich Manns</w:t>
      </w:r>
      <w:r w:rsidR="00554607">
        <w:rPr>
          <w:spacing w:val="-3"/>
        </w:rPr>
        <w:t xml:space="preserve"> im Exil entstandene</w:t>
      </w:r>
      <w:r>
        <w:rPr>
          <w:spacing w:val="-3"/>
        </w:rPr>
        <w:t xml:space="preserve"> politische Essayistik dezent mit dem Mantel des Schweigens bedecken.</w:t>
      </w:r>
      <w:r w:rsidR="001C4D55">
        <w:rPr>
          <w:spacing w:val="-3"/>
        </w:rPr>
        <w:t xml:space="preserve"> Die Folge wäre</w:t>
      </w:r>
      <w:r w:rsidR="00835D74">
        <w:rPr>
          <w:spacing w:val="-3"/>
        </w:rPr>
        <w:t xml:space="preserve"> jedoch</w:t>
      </w:r>
      <w:r w:rsidR="001C4D55">
        <w:rPr>
          <w:spacing w:val="-3"/>
        </w:rPr>
        <w:t xml:space="preserve">, dass damit auch Heinrich Manns literarisches </w:t>
      </w:r>
      <w:proofErr w:type="spellStart"/>
      <w:r w:rsidR="001C4D55">
        <w:rPr>
          <w:spacing w:val="-3"/>
        </w:rPr>
        <w:t>Œuvre</w:t>
      </w:r>
      <w:proofErr w:type="spellEnd"/>
      <w:r w:rsidR="001C4D55">
        <w:rPr>
          <w:spacing w:val="-3"/>
        </w:rPr>
        <w:t xml:space="preserve"> in den Hintergrund treten würde. Dies </w:t>
      </w:r>
      <w:r w:rsidR="000B6C65">
        <w:rPr>
          <w:spacing w:val="-3"/>
        </w:rPr>
        <w:t>ist</w:t>
      </w:r>
      <w:r w:rsidR="001C4D55">
        <w:rPr>
          <w:spacing w:val="-3"/>
        </w:rPr>
        <w:t xml:space="preserve"> aus einer Reihe von Gründen unangemessen. Der eigentümliche</w:t>
      </w:r>
      <w:r w:rsidR="0067519D">
        <w:rPr>
          <w:spacing w:val="-3"/>
        </w:rPr>
        <w:t>n</w:t>
      </w:r>
      <w:r w:rsidR="001C4D55">
        <w:rPr>
          <w:spacing w:val="-3"/>
        </w:rPr>
        <w:t xml:space="preserve"> Schwäche, die in </w:t>
      </w:r>
      <w:r w:rsidR="000B6C65">
        <w:rPr>
          <w:spacing w:val="-3"/>
        </w:rPr>
        <w:t>Teilen d</w:t>
      </w:r>
      <w:r w:rsidR="001C4D55">
        <w:rPr>
          <w:spacing w:val="-3"/>
        </w:rPr>
        <w:t xml:space="preserve">er </w:t>
      </w:r>
      <w:r w:rsidR="000B6C65">
        <w:rPr>
          <w:spacing w:val="-3"/>
        </w:rPr>
        <w:t>Exile</w:t>
      </w:r>
      <w:r w:rsidR="001C4D55">
        <w:rPr>
          <w:spacing w:val="-3"/>
        </w:rPr>
        <w:t>ssay</w:t>
      </w:r>
      <w:r w:rsidR="000B6C65">
        <w:rPr>
          <w:spacing w:val="-3"/>
        </w:rPr>
        <w:t>istik</w:t>
      </w:r>
      <w:r w:rsidR="001C4D55">
        <w:rPr>
          <w:spacing w:val="-3"/>
        </w:rPr>
        <w:t xml:space="preserve"> erkennbar wird, stehen Heinrich Manns sprachliche Virtuosität und die analytische Kraft der Bilder gegenüber. Beides wird vor allem </w:t>
      </w:r>
      <w:r w:rsidR="0067519D">
        <w:rPr>
          <w:spacing w:val="-3"/>
        </w:rPr>
        <w:t>a</w:t>
      </w:r>
      <w:r w:rsidR="001C4D55">
        <w:rPr>
          <w:spacing w:val="-3"/>
        </w:rPr>
        <w:t xml:space="preserve">n den </w:t>
      </w:r>
      <w:r w:rsidR="001C4D55" w:rsidRPr="00554607">
        <w:rPr>
          <w:i/>
          <w:spacing w:val="-3"/>
        </w:rPr>
        <w:t>Henri-</w:t>
      </w:r>
      <w:proofErr w:type="spellStart"/>
      <w:r w:rsidR="001C4D55" w:rsidRPr="00554607">
        <w:rPr>
          <w:i/>
          <w:spacing w:val="-3"/>
        </w:rPr>
        <w:t>Quatre</w:t>
      </w:r>
      <w:proofErr w:type="spellEnd"/>
      <w:r w:rsidR="001C4D55">
        <w:rPr>
          <w:spacing w:val="-3"/>
        </w:rPr>
        <w:t xml:space="preserve">-Romanen, auch </w:t>
      </w:r>
      <w:r w:rsidR="0067519D">
        <w:rPr>
          <w:spacing w:val="-3"/>
        </w:rPr>
        <w:t>a</w:t>
      </w:r>
      <w:r w:rsidR="001C4D55">
        <w:rPr>
          <w:spacing w:val="-3"/>
        </w:rPr>
        <w:t>m sp</w:t>
      </w:r>
      <w:r w:rsidR="001C4D55">
        <w:rPr>
          <w:spacing w:val="-3"/>
        </w:rPr>
        <w:t>ä</w:t>
      </w:r>
      <w:r w:rsidR="001C4D55">
        <w:rPr>
          <w:spacing w:val="-3"/>
        </w:rPr>
        <w:t xml:space="preserve">ten Roman </w:t>
      </w:r>
      <w:r w:rsidR="001C4D55">
        <w:rPr>
          <w:i/>
          <w:spacing w:val="-3"/>
        </w:rPr>
        <w:t>Der Atem</w:t>
      </w:r>
      <w:r w:rsidR="001C4D55">
        <w:rPr>
          <w:spacing w:val="-3"/>
        </w:rPr>
        <w:t xml:space="preserve"> deutlich.</w:t>
      </w:r>
      <w:r w:rsidR="0067519D">
        <w:rPr>
          <w:spacing w:val="-3"/>
        </w:rPr>
        <w:t xml:space="preserve"> </w:t>
      </w:r>
      <w:r w:rsidR="00C167E6">
        <w:rPr>
          <w:spacing w:val="-3"/>
        </w:rPr>
        <w:t xml:space="preserve">Bei Heinrich Mann verwandeln sich </w:t>
      </w:r>
      <w:r w:rsidR="00E029AD">
        <w:rPr>
          <w:spacing w:val="-3"/>
        </w:rPr>
        <w:t>politische Analysen in ästh</w:t>
      </w:r>
      <w:r w:rsidR="00E029AD">
        <w:rPr>
          <w:spacing w:val="-3"/>
        </w:rPr>
        <w:t>e</w:t>
      </w:r>
      <w:r w:rsidR="00E029AD">
        <w:rPr>
          <w:spacing w:val="-3"/>
        </w:rPr>
        <w:t>tische Bilder</w:t>
      </w:r>
      <w:r w:rsidR="00C167E6">
        <w:rPr>
          <w:spacing w:val="-3"/>
        </w:rPr>
        <w:t xml:space="preserve">, und ästhetische Bilder fungieren als Kondensat politischer Aussagen. Diese Bilder sind </w:t>
      </w:r>
      <w:r w:rsidR="000B6C65">
        <w:rPr>
          <w:spacing w:val="-3"/>
        </w:rPr>
        <w:t xml:space="preserve">auf den ersten Blick </w:t>
      </w:r>
      <w:r w:rsidR="00C167E6">
        <w:rPr>
          <w:spacing w:val="-3"/>
        </w:rPr>
        <w:t xml:space="preserve">eindeutig. </w:t>
      </w:r>
      <w:r w:rsidR="00011217">
        <w:rPr>
          <w:spacing w:val="-3"/>
        </w:rPr>
        <w:t>Bei genauerer Betrachtung erweist sich d</w:t>
      </w:r>
      <w:r w:rsidR="00C167E6">
        <w:rPr>
          <w:spacing w:val="-3"/>
        </w:rPr>
        <w:t>as scheinbar Ei</w:t>
      </w:r>
      <w:r w:rsidR="00C167E6">
        <w:rPr>
          <w:spacing w:val="-3"/>
        </w:rPr>
        <w:t>n</w:t>
      </w:r>
      <w:r w:rsidR="00C167E6">
        <w:rPr>
          <w:spacing w:val="-3"/>
        </w:rPr>
        <w:t xml:space="preserve">deutige als höchst komplex. </w:t>
      </w:r>
      <w:r w:rsidR="00F10AA7">
        <w:rPr>
          <w:spacing w:val="-3"/>
        </w:rPr>
        <w:t>Anders als in der</w:t>
      </w:r>
      <w:r w:rsidR="00C167E6">
        <w:rPr>
          <w:spacing w:val="-3"/>
        </w:rPr>
        <w:t xml:space="preserve"> Essayistik, wo sich </w:t>
      </w:r>
      <w:r w:rsidR="00F10AA7">
        <w:rPr>
          <w:spacing w:val="-3"/>
        </w:rPr>
        <w:t xml:space="preserve">die Bilder </w:t>
      </w:r>
      <w:r w:rsidR="000B6C65">
        <w:rPr>
          <w:spacing w:val="-3"/>
        </w:rPr>
        <w:t xml:space="preserve">und Begriffe </w:t>
      </w:r>
      <w:r w:rsidR="00C167E6">
        <w:rPr>
          <w:spacing w:val="-3"/>
        </w:rPr>
        <w:t xml:space="preserve">auf </w:t>
      </w:r>
      <w:r w:rsidR="00C167E6" w:rsidRPr="0068120C">
        <w:rPr>
          <w:spacing w:val="-3"/>
        </w:rPr>
        <w:t>identifizierbare</w:t>
      </w:r>
      <w:r w:rsidR="00C167E6">
        <w:rPr>
          <w:spacing w:val="-3"/>
        </w:rPr>
        <w:t xml:space="preserve">, dem aktuellen Publikum </w:t>
      </w:r>
      <w:r w:rsidR="00C167E6" w:rsidRPr="00011217">
        <w:rPr>
          <w:i/>
          <w:spacing w:val="-3"/>
        </w:rPr>
        <w:t xml:space="preserve">bekannte </w:t>
      </w:r>
      <w:r w:rsidR="00C167E6">
        <w:rPr>
          <w:spacing w:val="-3"/>
        </w:rPr>
        <w:t>Personen bezieh</w:t>
      </w:r>
      <w:r w:rsidR="00F10AA7">
        <w:rPr>
          <w:spacing w:val="-3"/>
        </w:rPr>
        <w:t>en</w:t>
      </w:r>
      <w:r w:rsidR="00C167E6">
        <w:rPr>
          <w:spacing w:val="-3"/>
        </w:rPr>
        <w:t xml:space="preserve">, also eine </w:t>
      </w:r>
      <w:r w:rsidR="00D1168A">
        <w:rPr>
          <w:spacing w:val="-3"/>
        </w:rPr>
        <w:t>eindeutig</w:t>
      </w:r>
      <w:r w:rsidR="00C167E6">
        <w:rPr>
          <w:spacing w:val="-3"/>
        </w:rPr>
        <w:t>e Z</w:t>
      </w:r>
      <w:r w:rsidR="00C167E6">
        <w:rPr>
          <w:spacing w:val="-3"/>
        </w:rPr>
        <w:t>u</w:t>
      </w:r>
      <w:r w:rsidR="00C167E6">
        <w:rPr>
          <w:spacing w:val="-3"/>
        </w:rPr>
        <w:lastRenderedPageBreak/>
        <w:t>ordnung von B</w:t>
      </w:r>
      <w:r w:rsidR="000B6C65">
        <w:rPr>
          <w:spacing w:val="-3"/>
        </w:rPr>
        <w:t>egriff</w:t>
      </w:r>
      <w:r w:rsidR="00C167E6">
        <w:rPr>
          <w:spacing w:val="-3"/>
        </w:rPr>
        <w:t xml:space="preserve"> und Person </w:t>
      </w:r>
      <w:r w:rsidR="00011217">
        <w:rPr>
          <w:spacing w:val="-3"/>
        </w:rPr>
        <w:t>besteh</w:t>
      </w:r>
      <w:r w:rsidR="00C167E6">
        <w:rPr>
          <w:spacing w:val="-3"/>
        </w:rPr>
        <w:t xml:space="preserve">t, </w:t>
      </w:r>
      <w:r w:rsidR="00011217">
        <w:rPr>
          <w:spacing w:val="-3"/>
        </w:rPr>
        <w:t>ent</w:t>
      </w:r>
      <w:r w:rsidR="00F10AA7">
        <w:rPr>
          <w:spacing w:val="-3"/>
        </w:rPr>
        <w:t>falte</w:t>
      </w:r>
      <w:r w:rsidR="00384524">
        <w:rPr>
          <w:spacing w:val="-3"/>
        </w:rPr>
        <w:t>t</w:t>
      </w:r>
      <w:r w:rsidR="00F10AA7">
        <w:rPr>
          <w:spacing w:val="-3"/>
        </w:rPr>
        <w:t xml:space="preserve"> </w:t>
      </w:r>
      <w:r w:rsidR="00C167E6">
        <w:rPr>
          <w:spacing w:val="-3"/>
        </w:rPr>
        <w:t>die</w:t>
      </w:r>
      <w:r w:rsidR="00384524">
        <w:rPr>
          <w:spacing w:val="-3"/>
        </w:rPr>
        <w:t>se Komplexität und immanente Heterogen</w:t>
      </w:r>
      <w:r w:rsidR="00384524">
        <w:rPr>
          <w:spacing w:val="-3"/>
        </w:rPr>
        <w:t>i</w:t>
      </w:r>
      <w:r w:rsidR="00384524">
        <w:rPr>
          <w:spacing w:val="-3"/>
        </w:rPr>
        <w:t xml:space="preserve">tät innerhalb der fiktionalen Welt </w:t>
      </w:r>
      <w:r w:rsidR="00C434C7">
        <w:rPr>
          <w:spacing w:val="-3"/>
        </w:rPr>
        <w:t xml:space="preserve">eine </w:t>
      </w:r>
      <w:r w:rsidR="000B6C65">
        <w:rPr>
          <w:spacing w:val="-3"/>
        </w:rPr>
        <w:t xml:space="preserve">faszinierende </w:t>
      </w:r>
      <w:r w:rsidR="00F10AA7">
        <w:rPr>
          <w:spacing w:val="-3"/>
        </w:rPr>
        <w:t>zeit</w:t>
      </w:r>
      <w:r w:rsidR="00C434C7">
        <w:rPr>
          <w:spacing w:val="-3"/>
        </w:rPr>
        <w:t>analytische Kraft</w:t>
      </w:r>
      <w:r w:rsidR="00C167E6">
        <w:rPr>
          <w:spacing w:val="-3"/>
        </w:rPr>
        <w:t>.</w:t>
      </w:r>
      <w:r w:rsidR="007F6830">
        <w:rPr>
          <w:spacing w:val="-3"/>
        </w:rPr>
        <w:t xml:space="preserve"> </w:t>
      </w:r>
    </w:p>
    <w:p w:rsidR="000B6C65" w:rsidRDefault="000B6C65" w:rsidP="00DB17F3">
      <w:pPr>
        <w:spacing w:after="0"/>
        <w:jc w:val="both"/>
        <w:rPr>
          <w:spacing w:val="-3"/>
        </w:rPr>
      </w:pPr>
    </w:p>
    <w:p w:rsidR="00D328F9" w:rsidRDefault="0067519D" w:rsidP="00DB17F3">
      <w:pPr>
        <w:tabs>
          <w:tab w:val="left" w:pos="-720"/>
        </w:tabs>
        <w:spacing w:after="0"/>
        <w:jc w:val="both"/>
        <w:rPr>
          <w:spacing w:val="-3"/>
        </w:rPr>
      </w:pPr>
      <w:r>
        <w:rPr>
          <w:spacing w:val="-3"/>
        </w:rPr>
        <w:tab/>
        <w:t>Der erste Band</w:t>
      </w:r>
      <w:r w:rsidR="007537B4">
        <w:rPr>
          <w:spacing w:val="-3"/>
        </w:rPr>
        <w:t xml:space="preserve"> der </w:t>
      </w:r>
      <w:r w:rsidR="007537B4">
        <w:rPr>
          <w:i/>
          <w:spacing w:val="-3"/>
        </w:rPr>
        <w:t>Henri-</w:t>
      </w:r>
      <w:proofErr w:type="spellStart"/>
      <w:r w:rsidR="007537B4">
        <w:rPr>
          <w:i/>
          <w:spacing w:val="-3"/>
        </w:rPr>
        <w:t>Quatre</w:t>
      </w:r>
      <w:proofErr w:type="spellEnd"/>
      <w:r w:rsidR="007537B4">
        <w:rPr>
          <w:i/>
          <w:spacing w:val="-3"/>
        </w:rPr>
        <w:t>-</w:t>
      </w:r>
      <w:r w:rsidR="007537B4">
        <w:rPr>
          <w:spacing w:val="-3"/>
        </w:rPr>
        <w:t>Romane</w:t>
      </w:r>
      <w:r>
        <w:rPr>
          <w:spacing w:val="-3"/>
        </w:rPr>
        <w:t xml:space="preserve">, </w:t>
      </w:r>
      <w:r>
        <w:rPr>
          <w:i/>
          <w:spacing w:val="-3"/>
        </w:rPr>
        <w:t xml:space="preserve">Die Jugend des Königs Henri </w:t>
      </w:r>
      <w:proofErr w:type="spellStart"/>
      <w:r>
        <w:rPr>
          <w:i/>
          <w:spacing w:val="-3"/>
        </w:rPr>
        <w:t>Quatre</w:t>
      </w:r>
      <w:proofErr w:type="spellEnd"/>
      <w:r>
        <w:rPr>
          <w:i/>
          <w:spacing w:val="-3"/>
        </w:rPr>
        <w:t>,</w:t>
      </w:r>
      <w:r>
        <w:rPr>
          <w:spacing w:val="-3"/>
        </w:rPr>
        <w:t xml:space="preserve"> e</w:t>
      </w:r>
      <w:r>
        <w:rPr>
          <w:spacing w:val="-3"/>
        </w:rPr>
        <w:t>r</w:t>
      </w:r>
      <w:r>
        <w:rPr>
          <w:spacing w:val="-3"/>
        </w:rPr>
        <w:t xml:space="preserve">schien 1935 im Amsterdamer </w:t>
      </w:r>
      <w:proofErr w:type="spellStart"/>
      <w:r>
        <w:rPr>
          <w:spacing w:val="-3"/>
        </w:rPr>
        <w:t>Querido</w:t>
      </w:r>
      <w:proofErr w:type="spellEnd"/>
      <w:r>
        <w:rPr>
          <w:spacing w:val="-3"/>
        </w:rPr>
        <w:t xml:space="preserve"> Verlag. Heinrich Mann hatte die Thematik nicht erst im Exil gewählt</w:t>
      </w:r>
      <w:r w:rsidR="00C167E6">
        <w:rPr>
          <w:spacing w:val="-3"/>
        </w:rPr>
        <w:t>.</w:t>
      </w:r>
      <w:r>
        <w:rPr>
          <w:spacing w:val="-3"/>
        </w:rPr>
        <w:t xml:space="preserve"> </w:t>
      </w:r>
      <w:r w:rsidR="00C167E6">
        <w:rPr>
          <w:spacing w:val="-3"/>
        </w:rPr>
        <w:t>S</w:t>
      </w:r>
      <w:r>
        <w:rPr>
          <w:spacing w:val="-3"/>
        </w:rPr>
        <w:t xml:space="preserve">ie war ihm </w:t>
      </w:r>
      <w:r w:rsidR="00C167E6">
        <w:rPr>
          <w:spacing w:val="-3"/>
        </w:rPr>
        <w:t xml:space="preserve">vielmehr </w:t>
      </w:r>
      <w:r>
        <w:rPr>
          <w:spacing w:val="-3"/>
        </w:rPr>
        <w:t>spätestens seit den 1890er Jahren vertraut</w:t>
      </w:r>
      <w:r w:rsidR="00C95D33">
        <w:rPr>
          <w:spacing w:val="-3"/>
        </w:rPr>
        <w:t>.</w:t>
      </w:r>
      <w:r w:rsidR="00C167E6">
        <w:rPr>
          <w:spacing w:val="-3"/>
        </w:rPr>
        <w:t xml:space="preserve"> </w:t>
      </w:r>
      <w:r w:rsidR="00FF1439">
        <w:rPr>
          <w:spacing w:val="-3"/>
        </w:rPr>
        <w:t>Er hatte mit den</w:t>
      </w:r>
      <w:r w:rsidR="00C95D33">
        <w:rPr>
          <w:spacing w:val="-3"/>
        </w:rPr>
        <w:t xml:space="preserve"> Vorarbeiten</w:t>
      </w:r>
      <w:r w:rsidR="00FF1439">
        <w:rPr>
          <w:spacing w:val="-3"/>
        </w:rPr>
        <w:t xml:space="preserve">, speziell in Form intensiver Quellenstudien, </w:t>
      </w:r>
      <w:r w:rsidR="00C95D33">
        <w:rPr>
          <w:spacing w:val="-3"/>
        </w:rPr>
        <w:t xml:space="preserve">bereits </w:t>
      </w:r>
      <w:r w:rsidR="00FF1439">
        <w:rPr>
          <w:spacing w:val="-3"/>
        </w:rPr>
        <w:t>während der</w:t>
      </w:r>
      <w:r w:rsidR="00C95D33">
        <w:rPr>
          <w:spacing w:val="-3"/>
        </w:rPr>
        <w:t xml:space="preserve"> 1920er Jahre</w:t>
      </w:r>
      <w:r w:rsidR="00FF1439">
        <w:rPr>
          <w:spacing w:val="-3"/>
        </w:rPr>
        <w:t xml:space="preserve"> b</w:t>
      </w:r>
      <w:r w:rsidR="00FF1439">
        <w:rPr>
          <w:spacing w:val="-3"/>
        </w:rPr>
        <w:t>e</w:t>
      </w:r>
      <w:r w:rsidR="00FF1439">
        <w:rPr>
          <w:spacing w:val="-3"/>
        </w:rPr>
        <w:t>gonne</w:t>
      </w:r>
      <w:r w:rsidR="00C95D33">
        <w:rPr>
          <w:spacing w:val="-3"/>
        </w:rPr>
        <w:t xml:space="preserve">n. Die Thematik </w:t>
      </w:r>
      <w:r w:rsidR="00C167E6">
        <w:rPr>
          <w:spacing w:val="-3"/>
        </w:rPr>
        <w:t>erhielt</w:t>
      </w:r>
      <w:r w:rsidR="00C95D33">
        <w:rPr>
          <w:spacing w:val="-3"/>
        </w:rPr>
        <w:t xml:space="preserve"> </w:t>
      </w:r>
      <w:r w:rsidR="00C167E6">
        <w:rPr>
          <w:spacing w:val="-3"/>
        </w:rPr>
        <w:t xml:space="preserve">durch das </w:t>
      </w:r>
      <w:r w:rsidR="00CD520E">
        <w:rPr>
          <w:spacing w:val="-3"/>
        </w:rPr>
        <w:t xml:space="preserve">aktuelle </w:t>
      </w:r>
      <w:r w:rsidR="00C167E6">
        <w:rPr>
          <w:spacing w:val="-3"/>
        </w:rPr>
        <w:t>politische Geschehen</w:t>
      </w:r>
      <w:r w:rsidR="00C95D33">
        <w:rPr>
          <w:spacing w:val="-3"/>
        </w:rPr>
        <w:t xml:space="preserve">, vor allem </w:t>
      </w:r>
      <w:r w:rsidR="00CD520E">
        <w:rPr>
          <w:spacing w:val="-3"/>
        </w:rPr>
        <w:t xml:space="preserve">aber </w:t>
      </w:r>
      <w:r w:rsidR="00C95D33">
        <w:rPr>
          <w:spacing w:val="-3"/>
        </w:rPr>
        <w:t xml:space="preserve">durch Heinrich Manns Status als </w:t>
      </w:r>
      <w:r w:rsidR="007537B4">
        <w:rPr>
          <w:spacing w:val="-3"/>
        </w:rPr>
        <w:t xml:space="preserve">politischer </w:t>
      </w:r>
      <w:r w:rsidR="00C95D33">
        <w:rPr>
          <w:spacing w:val="-3"/>
        </w:rPr>
        <w:t>Emigrant,</w:t>
      </w:r>
      <w:r w:rsidR="00C167E6">
        <w:rPr>
          <w:spacing w:val="-3"/>
        </w:rPr>
        <w:t xml:space="preserve"> </w:t>
      </w:r>
      <w:r w:rsidR="00FF1439">
        <w:rPr>
          <w:spacing w:val="-3"/>
        </w:rPr>
        <w:t xml:space="preserve">jedoch </w:t>
      </w:r>
      <w:r w:rsidR="00C167E6">
        <w:rPr>
          <w:spacing w:val="-3"/>
        </w:rPr>
        <w:t xml:space="preserve">eine </w:t>
      </w:r>
      <w:r w:rsidR="00FF1439">
        <w:rPr>
          <w:spacing w:val="-3"/>
        </w:rPr>
        <w:t>neu</w:t>
      </w:r>
      <w:r w:rsidR="00CD520E">
        <w:rPr>
          <w:spacing w:val="-3"/>
        </w:rPr>
        <w:t>e</w:t>
      </w:r>
      <w:r w:rsidR="00FF1439">
        <w:rPr>
          <w:spacing w:val="-3"/>
        </w:rPr>
        <w:t>, völlig andere</w:t>
      </w:r>
      <w:r w:rsidR="00CD520E">
        <w:rPr>
          <w:spacing w:val="-3"/>
        </w:rPr>
        <w:t xml:space="preserve"> Relevanz</w:t>
      </w:r>
      <w:r w:rsidR="00C167E6">
        <w:rPr>
          <w:spacing w:val="-3"/>
        </w:rPr>
        <w:t>.</w:t>
      </w:r>
      <w:r>
        <w:rPr>
          <w:spacing w:val="-3"/>
        </w:rPr>
        <w:t xml:space="preserve"> </w:t>
      </w:r>
      <w:r w:rsidR="007F6830">
        <w:rPr>
          <w:spacing w:val="-3"/>
        </w:rPr>
        <w:t xml:space="preserve">Das betraf </w:t>
      </w:r>
      <w:r w:rsidR="00CD520E">
        <w:rPr>
          <w:spacing w:val="-3"/>
        </w:rPr>
        <w:t>insbesondere</w:t>
      </w:r>
      <w:r w:rsidR="007F6830">
        <w:rPr>
          <w:spacing w:val="-3"/>
        </w:rPr>
        <w:t xml:space="preserve"> de</w:t>
      </w:r>
      <w:r w:rsidR="00483C2C">
        <w:rPr>
          <w:spacing w:val="-3"/>
        </w:rPr>
        <w:t>n</w:t>
      </w:r>
      <w:r w:rsidR="007F6830">
        <w:rPr>
          <w:spacing w:val="-3"/>
        </w:rPr>
        <w:t xml:space="preserve"> in dem Roman dargestellten </w:t>
      </w:r>
      <w:r w:rsidR="00CD520E">
        <w:rPr>
          <w:spacing w:val="-3"/>
        </w:rPr>
        <w:t xml:space="preserve">politisch </w:t>
      </w:r>
      <w:r w:rsidR="00483C2C">
        <w:rPr>
          <w:spacing w:val="-3"/>
        </w:rPr>
        <w:t>zentralen Konflikt</w:t>
      </w:r>
      <w:r w:rsidR="007F6830">
        <w:rPr>
          <w:spacing w:val="-3"/>
        </w:rPr>
        <w:t>:</w:t>
      </w:r>
      <w:r w:rsidR="00483C2C">
        <w:rPr>
          <w:spacing w:val="-3"/>
        </w:rPr>
        <w:t xml:space="preserve"> die religiöse </w:t>
      </w:r>
      <w:r w:rsidR="00CD520E">
        <w:rPr>
          <w:spacing w:val="-3"/>
        </w:rPr>
        <w:t>S</w:t>
      </w:r>
      <w:r w:rsidR="00483C2C">
        <w:rPr>
          <w:spacing w:val="-3"/>
        </w:rPr>
        <w:t xml:space="preserve">paltung </w:t>
      </w:r>
      <w:r w:rsidR="00CD520E">
        <w:rPr>
          <w:spacing w:val="-3"/>
        </w:rPr>
        <w:t>Frankreich</w:t>
      </w:r>
      <w:r w:rsidR="00483C2C">
        <w:rPr>
          <w:spacing w:val="-3"/>
        </w:rPr>
        <w:t>s</w:t>
      </w:r>
      <w:r w:rsidR="00CD520E">
        <w:rPr>
          <w:spacing w:val="-3"/>
        </w:rPr>
        <w:t xml:space="preserve"> </w:t>
      </w:r>
      <w:r w:rsidR="00FF1439">
        <w:rPr>
          <w:spacing w:val="-3"/>
        </w:rPr>
        <w:t xml:space="preserve">während es 16. Jahrhunderts </w:t>
      </w:r>
      <w:r w:rsidR="00CD520E">
        <w:rPr>
          <w:spacing w:val="-3"/>
        </w:rPr>
        <w:t>in Hugenotten und Katholiken</w:t>
      </w:r>
      <w:r w:rsidR="00483C2C">
        <w:rPr>
          <w:spacing w:val="-3"/>
        </w:rPr>
        <w:t xml:space="preserve">, </w:t>
      </w:r>
      <w:r w:rsidR="00CD520E">
        <w:rPr>
          <w:spacing w:val="-3"/>
        </w:rPr>
        <w:t>die die Bi</w:t>
      </w:r>
      <w:r w:rsidR="00CD520E">
        <w:rPr>
          <w:spacing w:val="-3"/>
        </w:rPr>
        <w:t>l</w:t>
      </w:r>
      <w:r w:rsidR="00CD520E">
        <w:rPr>
          <w:spacing w:val="-3"/>
        </w:rPr>
        <w:t xml:space="preserve">dung zweier konkurrierender Machtblöcke und </w:t>
      </w:r>
      <w:r w:rsidR="007F6830">
        <w:rPr>
          <w:spacing w:val="-3"/>
        </w:rPr>
        <w:t>de</w:t>
      </w:r>
      <w:r w:rsidR="00CD520E">
        <w:rPr>
          <w:spacing w:val="-3"/>
        </w:rPr>
        <w:t xml:space="preserve">n </w:t>
      </w:r>
      <w:r w:rsidR="007F6830">
        <w:rPr>
          <w:spacing w:val="-3"/>
        </w:rPr>
        <w:t>Bürgerkrieg</w:t>
      </w:r>
      <w:r w:rsidR="00483C2C">
        <w:rPr>
          <w:spacing w:val="-3"/>
        </w:rPr>
        <w:t xml:space="preserve"> </w:t>
      </w:r>
      <w:r w:rsidR="00CD520E">
        <w:rPr>
          <w:spacing w:val="-3"/>
        </w:rPr>
        <w:t>zur Folge hatte</w:t>
      </w:r>
      <w:r w:rsidR="00E907C5">
        <w:rPr>
          <w:spacing w:val="-3"/>
        </w:rPr>
        <w:t>,</w:t>
      </w:r>
      <w:r w:rsidR="00483C2C">
        <w:rPr>
          <w:spacing w:val="-3"/>
        </w:rPr>
        <w:t xml:space="preserve"> </w:t>
      </w:r>
      <w:r w:rsidR="007F6830">
        <w:rPr>
          <w:spacing w:val="-3"/>
        </w:rPr>
        <w:t xml:space="preserve">der </w:t>
      </w:r>
      <w:r w:rsidR="00E907C5">
        <w:rPr>
          <w:spacing w:val="-3"/>
        </w:rPr>
        <w:t>in den Ma</w:t>
      </w:r>
      <w:r w:rsidR="00E907C5">
        <w:rPr>
          <w:spacing w:val="-3"/>
        </w:rPr>
        <w:t>s</w:t>
      </w:r>
      <w:r w:rsidR="00E907C5">
        <w:rPr>
          <w:spacing w:val="-3"/>
        </w:rPr>
        <w:t xml:space="preserve">sakern </w:t>
      </w:r>
      <w:r w:rsidR="00483C2C">
        <w:rPr>
          <w:spacing w:val="-3"/>
        </w:rPr>
        <w:t xml:space="preserve">der </w:t>
      </w:r>
      <w:proofErr w:type="spellStart"/>
      <w:r w:rsidR="00483C2C">
        <w:rPr>
          <w:spacing w:val="-3"/>
        </w:rPr>
        <w:t>Bartholomäusnacht</w:t>
      </w:r>
      <w:proofErr w:type="spellEnd"/>
      <w:r w:rsidR="00483C2C">
        <w:rPr>
          <w:spacing w:val="-3"/>
        </w:rPr>
        <w:t xml:space="preserve"> </w:t>
      </w:r>
      <w:r w:rsidR="00E907C5">
        <w:rPr>
          <w:spacing w:val="-3"/>
        </w:rPr>
        <w:t>kulminierte</w:t>
      </w:r>
      <w:r w:rsidR="006A4916">
        <w:rPr>
          <w:spacing w:val="-3"/>
        </w:rPr>
        <w:t>:</w:t>
      </w:r>
      <w:r w:rsidR="007F6830">
        <w:rPr>
          <w:spacing w:val="-3"/>
        </w:rPr>
        <w:t xml:space="preserve"> </w:t>
      </w:r>
      <w:r w:rsidR="00FF1439">
        <w:rPr>
          <w:spacing w:val="-3"/>
        </w:rPr>
        <w:t>der</w:t>
      </w:r>
      <w:r w:rsidR="006A4916">
        <w:rPr>
          <w:spacing w:val="-3"/>
        </w:rPr>
        <w:t xml:space="preserve"> </w:t>
      </w:r>
      <w:r w:rsidR="007F6830">
        <w:rPr>
          <w:spacing w:val="-3"/>
        </w:rPr>
        <w:t xml:space="preserve">Ermordung </w:t>
      </w:r>
      <w:r w:rsidR="00483C2C">
        <w:rPr>
          <w:spacing w:val="-3"/>
        </w:rPr>
        <w:t>d</w:t>
      </w:r>
      <w:r w:rsidR="006A4916">
        <w:rPr>
          <w:spacing w:val="-3"/>
        </w:rPr>
        <w:t xml:space="preserve">es </w:t>
      </w:r>
      <w:r w:rsidR="007537B4">
        <w:rPr>
          <w:spacing w:val="-3"/>
        </w:rPr>
        <w:t>Gefolges</w:t>
      </w:r>
      <w:r w:rsidR="006A4916">
        <w:rPr>
          <w:spacing w:val="-3"/>
        </w:rPr>
        <w:t>, d</w:t>
      </w:r>
      <w:r w:rsidR="007537B4">
        <w:rPr>
          <w:spacing w:val="-3"/>
        </w:rPr>
        <w:t>as</w:t>
      </w:r>
      <w:r w:rsidR="006A4916">
        <w:rPr>
          <w:spacing w:val="-3"/>
        </w:rPr>
        <w:t xml:space="preserve"> </w:t>
      </w:r>
      <w:r w:rsidR="00FF1439">
        <w:rPr>
          <w:spacing w:val="-3"/>
        </w:rPr>
        <w:t xml:space="preserve">Henri von Navarra </w:t>
      </w:r>
      <w:r w:rsidR="006A4916">
        <w:rPr>
          <w:spacing w:val="-3"/>
        </w:rPr>
        <w:t xml:space="preserve">aus Anlass </w:t>
      </w:r>
      <w:r w:rsidR="00FF1439">
        <w:rPr>
          <w:spacing w:val="-3"/>
        </w:rPr>
        <w:t>sein</w:t>
      </w:r>
      <w:r w:rsidR="00CD520E">
        <w:rPr>
          <w:spacing w:val="-3"/>
        </w:rPr>
        <w:t>er</w:t>
      </w:r>
      <w:r w:rsidR="006A4916">
        <w:rPr>
          <w:spacing w:val="-3"/>
        </w:rPr>
        <w:t xml:space="preserve"> Hochzeit</w:t>
      </w:r>
      <w:r w:rsidR="00CD520E">
        <w:rPr>
          <w:spacing w:val="-3"/>
        </w:rPr>
        <w:t xml:space="preserve"> </w:t>
      </w:r>
      <w:r w:rsidR="00FF1439">
        <w:rPr>
          <w:spacing w:val="-3"/>
        </w:rPr>
        <w:t>mit</w:t>
      </w:r>
      <w:r w:rsidR="006A4916">
        <w:rPr>
          <w:spacing w:val="-3"/>
        </w:rPr>
        <w:t xml:space="preserve"> Marguerite von Valois</w:t>
      </w:r>
      <w:r w:rsidR="00E907C5">
        <w:rPr>
          <w:spacing w:val="-3"/>
        </w:rPr>
        <w:t xml:space="preserve"> </w:t>
      </w:r>
      <w:r w:rsidR="00483C2C">
        <w:rPr>
          <w:spacing w:val="-3"/>
        </w:rPr>
        <w:t>n</w:t>
      </w:r>
      <w:r w:rsidR="006A4916">
        <w:rPr>
          <w:spacing w:val="-3"/>
        </w:rPr>
        <w:t xml:space="preserve">ach Paris </w:t>
      </w:r>
      <w:r w:rsidR="00FF1439">
        <w:rPr>
          <w:spacing w:val="-3"/>
        </w:rPr>
        <w:t>begleitet hatte</w:t>
      </w:r>
      <w:r w:rsidR="006A4916">
        <w:rPr>
          <w:spacing w:val="-3"/>
        </w:rPr>
        <w:t xml:space="preserve">, </w:t>
      </w:r>
      <w:r w:rsidR="00FF1439">
        <w:rPr>
          <w:spacing w:val="-3"/>
        </w:rPr>
        <w:t>des</w:t>
      </w:r>
      <w:r w:rsidR="007F6830">
        <w:rPr>
          <w:spacing w:val="-3"/>
        </w:rPr>
        <w:t xml:space="preserve"> Admirals Coligny, des militärischen Führers der </w:t>
      </w:r>
      <w:r w:rsidR="00FF1439">
        <w:rPr>
          <w:spacing w:val="-3"/>
        </w:rPr>
        <w:t>h</w:t>
      </w:r>
      <w:r w:rsidR="007F6830">
        <w:rPr>
          <w:spacing w:val="-3"/>
        </w:rPr>
        <w:t>ugenott</w:t>
      </w:r>
      <w:r w:rsidR="00FF1439">
        <w:rPr>
          <w:spacing w:val="-3"/>
        </w:rPr>
        <w:t>isch</w:t>
      </w:r>
      <w:r w:rsidR="007F6830">
        <w:rPr>
          <w:spacing w:val="-3"/>
        </w:rPr>
        <w:t>en</w:t>
      </w:r>
      <w:r w:rsidR="00FF1439">
        <w:rPr>
          <w:spacing w:val="-3"/>
        </w:rPr>
        <w:t xml:space="preserve"> Partei,</w:t>
      </w:r>
      <w:r w:rsidR="007F6830">
        <w:rPr>
          <w:spacing w:val="-3"/>
        </w:rPr>
        <w:t xml:space="preserve"> </w:t>
      </w:r>
      <w:r w:rsidR="006A4916">
        <w:rPr>
          <w:spacing w:val="-3"/>
        </w:rPr>
        <w:t xml:space="preserve">sowie </w:t>
      </w:r>
      <w:r w:rsidR="00483C2C">
        <w:rPr>
          <w:spacing w:val="-3"/>
        </w:rPr>
        <w:t>des Großteils der Pariser Bürger protestantischen Glaubens</w:t>
      </w:r>
      <w:r w:rsidR="006A4916">
        <w:rPr>
          <w:spacing w:val="-3"/>
        </w:rPr>
        <w:t xml:space="preserve">. </w:t>
      </w:r>
      <w:r w:rsidR="00FF1439">
        <w:rPr>
          <w:spacing w:val="-3"/>
        </w:rPr>
        <w:t>F</w:t>
      </w:r>
      <w:r w:rsidR="00F30334">
        <w:rPr>
          <w:spacing w:val="-3"/>
        </w:rPr>
        <w:t xml:space="preserve">ür das Exil bot es sich an, dieses Geschehen mit den </w:t>
      </w:r>
      <w:r w:rsidR="007537B4">
        <w:rPr>
          <w:spacing w:val="-3"/>
        </w:rPr>
        <w:t>Erei</w:t>
      </w:r>
      <w:r w:rsidR="007537B4">
        <w:rPr>
          <w:spacing w:val="-3"/>
        </w:rPr>
        <w:t>g</w:t>
      </w:r>
      <w:r w:rsidR="007537B4">
        <w:rPr>
          <w:spacing w:val="-3"/>
        </w:rPr>
        <w:t>nisse</w:t>
      </w:r>
      <w:r w:rsidR="00F30334">
        <w:rPr>
          <w:spacing w:val="-3"/>
        </w:rPr>
        <w:t>n</w:t>
      </w:r>
      <w:r w:rsidR="007537B4">
        <w:rPr>
          <w:spacing w:val="-3"/>
        </w:rPr>
        <w:t xml:space="preserve"> vom 1. Juli 1934</w:t>
      </w:r>
      <w:r w:rsidR="00F30334">
        <w:rPr>
          <w:spacing w:val="-3"/>
        </w:rPr>
        <w:t xml:space="preserve">, dem </w:t>
      </w:r>
      <w:r w:rsidR="004C1564">
        <w:rPr>
          <w:spacing w:val="-3"/>
        </w:rPr>
        <w:t>„</w:t>
      </w:r>
      <w:r w:rsidR="00F30334">
        <w:rPr>
          <w:spacing w:val="-3"/>
        </w:rPr>
        <w:t>Röhm-Putsch</w:t>
      </w:r>
      <w:r w:rsidR="004C1564">
        <w:rPr>
          <w:spacing w:val="-3"/>
        </w:rPr>
        <w:t>“</w:t>
      </w:r>
      <w:r w:rsidR="00F30334">
        <w:rPr>
          <w:spacing w:val="-3"/>
        </w:rPr>
        <w:t>, in Verbindung zu setzen</w:t>
      </w:r>
      <w:r w:rsidR="00F52C89">
        <w:rPr>
          <w:spacing w:val="-3"/>
        </w:rPr>
        <w:t>:</w:t>
      </w:r>
      <w:r w:rsidR="007537B4">
        <w:rPr>
          <w:spacing w:val="-3"/>
        </w:rPr>
        <w:t xml:space="preserve"> </w:t>
      </w:r>
      <w:r w:rsidR="00F52C89">
        <w:rPr>
          <w:spacing w:val="-3"/>
        </w:rPr>
        <w:t>mit der</w:t>
      </w:r>
      <w:r w:rsidR="006A4916">
        <w:rPr>
          <w:spacing w:val="-3"/>
        </w:rPr>
        <w:t xml:space="preserve"> Ermordung des Generals von Schleicher und seiner Frau, des Generals Ferdinand von Bredow, von Gregor </w:t>
      </w:r>
      <w:proofErr w:type="spellStart"/>
      <w:r w:rsidR="006A4916">
        <w:rPr>
          <w:spacing w:val="-3"/>
        </w:rPr>
        <w:t>Str</w:t>
      </w:r>
      <w:r w:rsidR="006A4916">
        <w:rPr>
          <w:spacing w:val="-3"/>
        </w:rPr>
        <w:t>a</w:t>
      </w:r>
      <w:r w:rsidR="006A4916">
        <w:rPr>
          <w:spacing w:val="-3"/>
        </w:rPr>
        <w:t>ßer</w:t>
      </w:r>
      <w:proofErr w:type="spellEnd"/>
      <w:r w:rsidR="006A4916">
        <w:rPr>
          <w:spacing w:val="-3"/>
        </w:rPr>
        <w:t xml:space="preserve">, Gustav Ritter von Kahr, Erich </w:t>
      </w:r>
      <w:proofErr w:type="spellStart"/>
      <w:r w:rsidR="006A4916">
        <w:rPr>
          <w:spacing w:val="-3"/>
        </w:rPr>
        <w:t>Klausener</w:t>
      </w:r>
      <w:proofErr w:type="spellEnd"/>
      <w:r w:rsidR="00F30334">
        <w:rPr>
          <w:spacing w:val="-3"/>
        </w:rPr>
        <w:t>,</w:t>
      </w:r>
      <w:r w:rsidR="006A4916">
        <w:rPr>
          <w:spacing w:val="-3"/>
        </w:rPr>
        <w:t xml:space="preserve"> Schleicher</w:t>
      </w:r>
      <w:r w:rsidR="00F52C89">
        <w:rPr>
          <w:spacing w:val="-3"/>
        </w:rPr>
        <w:t xml:space="preserve">s </w:t>
      </w:r>
      <w:r w:rsidR="006A4916">
        <w:rPr>
          <w:spacing w:val="-3"/>
        </w:rPr>
        <w:t xml:space="preserve">Vertrauten Edgar Jung sowie </w:t>
      </w:r>
      <w:r w:rsidR="00F30334">
        <w:rPr>
          <w:spacing w:val="-3"/>
        </w:rPr>
        <w:t xml:space="preserve">des Stabschefs der SA Ernst Röhm </w:t>
      </w:r>
      <w:r w:rsidR="00F52C89">
        <w:rPr>
          <w:spacing w:val="-3"/>
        </w:rPr>
        <w:t>sowie</w:t>
      </w:r>
      <w:r w:rsidR="00F30334">
        <w:rPr>
          <w:spacing w:val="-3"/>
        </w:rPr>
        <w:t xml:space="preserve"> </w:t>
      </w:r>
      <w:r w:rsidR="006A4916">
        <w:rPr>
          <w:spacing w:val="-3"/>
        </w:rPr>
        <w:t>von mindestens 85 SA-Führern</w:t>
      </w:r>
      <w:r w:rsidR="00F52C89">
        <w:rPr>
          <w:spacing w:val="-3"/>
        </w:rPr>
        <w:t>.</w:t>
      </w:r>
      <w:r w:rsidR="002A60FA" w:rsidRPr="002A60FA">
        <w:rPr>
          <w:rStyle w:val="Funotenzeichen"/>
          <w:spacing w:val="-3"/>
        </w:rPr>
        <w:t xml:space="preserve"> </w:t>
      </w:r>
      <w:r w:rsidR="002A60FA">
        <w:rPr>
          <w:rStyle w:val="Funotenzeichen"/>
          <w:spacing w:val="-3"/>
        </w:rPr>
        <w:footnoteReference w:id="8"/>
      </w:r>
      <w:r w:rsidR="00F52C89">
        <w:rPr>
          <w:spacing w:val="-3"/>
        </w:rPr>
        <w:t xml:space="preserve"> </w:t>
      </w:r>
      <w:r w:rsidR="002A60FA">
        <w:rPr>
          <w:spacing w:val="-3"/>
        </w:rPr>
        <w:t>In gleicher Weise</w:t>
      </w:r>
      <w:r w:rsidR="00E907C5">
        <w:rPr>
          <w:spacing w:val="-3"/>
        </w:rPr>
        <w:t xml:space="preserve"> aber lenkte die Darstellung der Geschehnisse den Blick auf die </w:t>
      </w:r>
      <w:r w:rsidR="002A60FA">
        <w:rPr>
          <w:spacing w:val="-3"/>
        </w:rPr>
        <w:t xml:space="preserve">Möglichkeit einer </w:t>
      </w:r>
      <w:r w:rsidR="00E907C5">
        <w:rPr>
          <w:spacing w:val="-3"/>
        </w:rPr>
        <w:t xml:space="preserve">– zu dieser Zeit </w:t>
      </w:r>
      <w:r w:rsidR="002A60FA">
        <w:rPr>
          <w:spacing w:val="-3"/>
        </w:rPr>
        <w:t>von Teilen der Emigration prognostizierte</w:t>
      </w:r>
      <w:r w:rsidR="00205556">
        <w:rPr>
          <w:spacing w:val="-3"/>
        </w:rPr>
        <w:t>n</w:t>
      </w:r>
      <w:r w:rsidR="00205556">
        <w:rPr>
          <w:rStyle w:val="Funotenzeichen"/>
          <w:spacing w:val="-3"/>
        </w:rPr>
        <w:footnoteReference w:id="9"/>
      </w:r>
      <w:r w:rsidR="00E907C5">
        <w:rPr>
          <w:spacing w:val="-3"/>
        </w:rPr>
        <w:t xml:space="preserve"> – </w:t>
      </w:r>
      <w:r w:rsidR="00205556">
        <w:rPr>
          <w:spacing w:val="-3"/>
        </w:rPr>
        <w:t xml:space="preserve">entsprechenden </w:t>
      </w:r>
      <w:r w:rsidR="00E907C5">
        <w:rPr>
          <w:spacing w:val="-3"/>
        </w:rPr>
        <w:t>innerdeutsche</w:t>
      </w:r>
      <w:r w:rsidR="00205556">
        <w:rPr>
          <w:spacing w:val="-3"/>
        </w:rPr>
        <w:t>n</w:t>
      </w:r>
      <w:r w:rsidR="00E907C5">
        <w:rPr>
          <w:spacing w:val="-3"/>
        </w:rPr>
        <w:t xml:space="preserve"> Entwicklung</w:t>
      </w:r>
      <w:r w:rsidR="00205556">
        <w:rPr>
          <w:spacing w:val="-3"/>
        </w:rPr>
        <w:t>: auf die Möglichkeit eines gegen die jüdische Bevölkerungsgruppe gerichteten und planmäßig organisie</w:t>
      </w:r>
      <w:r w:rsidR="00205556">
        <w:rPr>
          <w:spacing w:val="-3"/>
        </w:rPr>
        <w:t>r</w:t>
      </w:r>
      <w:r w:rsidR="00205556">
        <w:rPr>
          <w:spacing w:val="-3"/>
        </w:rPr>
        <w:t>ten Pogroms in der Art der Novemberpogrome von 1938.</w:t>
      </w:r>
    </w:p>
    <w:p w:rsidR="00F30334" w:rsidRDefault="00F30334" w:rsidP="00DB17F3">
      <w:pPr>
        <w:tabs>
          <w:tab w:val="left" w:pos="-720"/>
        </w:tabs>
        <w:spacing w:after="0"/>
        <w:jc w:val="both"/>
        <w:rPr>
          <w:spacing w:val="-3"/>
        </w:rPr>
      </w:pPr>
    </w:p>
    <w:p w:rsidR="00FC5BF1" w:rsidRDefault="00411E83" w:rsidP="00DB17F3">
      <w:pPr>
        <w:tabs>
          <w:tab w:val="left" w:pos="-720"/>
        </w:tabs>
        <w:spacing w:after="0"/>
        <w:jc w:val="both"/>
        <w:rPr>
          <w:spacing w:val="-3"/>
        </w:rPr>
      </w:pPr>
      <w:r>
        <w:rPr>
          <w:spacing w:val="-3"/>
        </w:rPr>
        <w:tab/>
        <w:t>Die analytischen Stärken Heinrich Manns zeigen sich bei der Schilderung des Mordtre</w:t>
      </w:r>
      <w:r>
        <w:rPr>
          <w:spacing w:val="-3"/>
        </w:rPr>
        <w:t>i</w:t>
      </w:r>
      <w:r>
        <w:rPr>
          <w:spacing w:val="-3"/>
        </w:rPr>
        <w:t xml:space="preserve">bens. Henri sieht </w:t>
      </w:r>
      <w:r w:rsidR="00F30334">
        <w:rPr>
          <w:spacing w:val="-3"/>
        </w:rPr>
        <w:t xml:space="preserve">am Morgen nach der </w:t>
      </w:r>
      <w:proofErr w:type="spellStart"/>
      <w:r w:rsidR="00F30334">
        <w:rPr>
          <w:spacing w:val="-3"/>
        </w:rPr>
        <w:t>Bartholomäusnacht</w:t>
      </w:r>
      <w:proofErr w:type="spellEnd"/>
      <w:r w:rsidR="00F30334">
        <w:rPr>
          <w:spacing w:val="-3"/>
        </w:rPr>
        <w:t xml:space="preserve"> </w:t>
      </w:r>
      <w:r>
        <w:rPr>
          <w:spacing w:val="-3"/>
        </w:rPr>
        <w:t xml:space="preserve">bei einem Blick aus </w:t>
      </w:r>
      <w:r w:rsidR="00205556">
        <w:rPr>
          <w:spacing w:val="-3"/>
        </w:rPr>
        <w:t>ein</w:t>
      </w:r>
      <w:r>
        <w:rPr>
          <w:spacing w:val="-3"/>
        </w:rPr>
        <w:t>em Fenster</w:t>
      </w:r>
      <w:r w:rsidR="00205556">
        <w:rPr>
          <w:spacing w:val="-3"/>
        </w:rPr>
        <w:t xml:space="preserve"> des Louvre herab</w:t>
      </w:r>
      <w:r>
        <w:rPr>
          <w:spacing w:val="-3"/>
        </w:rPr>
        <w:t xml:space="preserve">, wie </w:t>
      </w:r>
      <w:r w:rsidR="004C1564">
        <w:rPr>
          <w:spacing w:val="-3"/>
        </w:rPr>
        <w:t>„</w:t>
      </w:r>
      <w:r>
        <w:rPr>
          <w:spacing w:val="-3"/>
        </w:rPr>
        <w:t>Volk</w:t>
      </w:r>
      <w:r w:rsidR="004C1564">
        <w:rPr>
          <w:spacing w:val="-3"/>
        </w:rPr>
        <w:t>“</w:t>
      </w:r>
      <w:r>
        <w:rPr>
          <w:spacing w:val="-3"/>
        </w:rPr>
        <w:t xml:space="preserve"> und </w:t>
      </w:r>
      <w:r w:rsidR="004C1564">
        <w:rPr>
          <w:spacing w:val="-3"/>
        </w:rPr>
        <w:t>„</w:t>
      </w:r>
      <w:r>
        <w:rPr>
          <w:spacing w:val="-3"/>
        </w:rPr>
        <w:t>ehrbare Leute</w:t>
      </w:r>
      <w:r w:rsidR="004C1564">
        <w:rPr>
          <w:spacing w:val="-3"/>
        </w:rPr>
        <w:t>“</w:t>
      </w:r>
      <w:r>
        <w:rPr>
          <w:spacing w:val="-3"/>
        </w:rPr>
        <w:t xml:space="preserve">, wie es heißt, </w:t>
      </w:r>
      <w:r w:rsidR="004C1564">
        <w:rPr>
          <w:spacing w:val="-3"/>
        </w:rPr>
        <w:t>„</w:t>
      </w:r>
      <w:r>
        <w:rPr>
          <w:spacing w:val="-3"/>
        </w:rPr>
        <w:t>mit Sorgfalt und Ge</w:t>
      </w:r>
      <w:r w:rsidR="00C434C7">
        <w:rPr>
          <w:spacing w:val="-3"/>
        </w:rPr>
        <w:t>n</w:t>
      </w:r>
      <w:r>
        <w:rPr>
          <w:spacing w:val="-3"/>
        </w:rPr>
        <w:t>auigkeit</w:t>
      </w:r>
      <w:r w:rsidR="004C1564">
        <w:rPr>
          <w:spacing w:val="-3"/>
        </w:rPr>
        <w:t>“</w:t>
      </w:r>
      <w:r>
        <w:rPr>
          <w:spacing w:val="-3"/>
        </w:rPr>
        <w:t xml:space="preserve"> ihre Nachbarn zuerst abschlachten, die Leichen entkleiden, zu Haufen aufstapeln und </w:t>
      </w:r>
      <w:r w:rsidR="00F30334">
        <w:rPr>
          <w:spacing w:val="-3"/>
        </w:rPr>
        <w:t>anschli</w:t>
      </w:r>
      <w:r w:rsidR="00F30334">
        <w:rPr>
          <w:spacing w:val="-3"/>
        </w:rPr>
        <w:t>e</w:t>
      </w:r>
      <w:r w:rsidR="00F30334">
        <w:rPr>
          <w:spacing w:val="-3"/>
        </w:rPr>
        <w:t xml:space="preserve">ßend </w:t>
      </w:r>
      <w:r>
        <w:rPr>
          <w:spacing w:val="-3"/>
        </w:rPr>
        <w:t>den Besitz der Getöteten fort</w:t>
      </w:r>
      <w:r w:rsidR="00EE4471">
        <w:rPr>
          <w:spacing w:val="-3"/>
        </w:rPr>
        <w:t>t</w:t>
      </w:r>
      <w:r>
        <w:rPr>
          <w:spacing w:val="-3"/>
        </w:rPr>
        <w:t xml:space="preserve">ragen. </w:t>
      </w:r>
      <w:r w:rsidR="00205556">
        <w:rPr>
          <w:spacing w:val="-3"/>
        </w:rPr>
        <w:t>Es bietet sich ihm das</w:t>
      </w:r>
      <w:r w:rsidR="00F30334">
        <w:rPr>
          <w:spacing w:val="-3"/>
        </w:rPr>
        <w:t xml:space="preserve"> erschreckend</w:t>
      </w:r>
      <w:r w:rsidR="00205556">
        <w:rPr>
          <w:spacing w:val="-3"/>
        </w:rPr>
        <w:t>e</w:t>
      </w:r>
      <w:r w:rsidR="00F30334">
        <w:rPr>
          <w:spacing w:val="-3"/>
        </w:rPr>
        <w:t xml:space="preserve"> </w:t>
      </w:r>
      <w:r w:rsidR="00205F7B">
        <w:rPr>
          <w:spacing w:val="-3"/>
        </w:rPr>
        <w:t xml:space="preserve">Bild, wie die </w:t>
      </w:r>
      <w:r w:rsidR="00205556">
        <w:rPr>
          <w:spacing w:val="-3"/>
        </w:rPr>
        <w:t>„o</w:t>
      </w:r>
      <w:r w:rsidR="00205556">
        <w:rPr>
          <w:spacing w:val="-3"/>
        </w:rPr>
        <w:t>r</w:t>
      </w:r>
      <w:r w:rsidR="00205556">
        <w:rPr>
          <w:spacing w:val="-3"/>
        </w:rPr>
        <w:t>dentlichen Bürger“</w:t>
      </w:r>
      <w:r w:rsidR="00205F7B">
        <w:rPr>
          <w:spacing w:val="-3"/>
        </w:rPr>
        <w:t xml:space="preserve"> Mord und Gesetzesbrüche</w:t>
      </w:r>
      <w:r w:rsidR="00205556">
        <w:rPr>
          <w:spacing w:val="-3"/>
        </w:rPr>
        <w:t xml:space="preserve"> vollziehen</w:t>
      </w:r>
      <w:r w:rsidR="00205F7B">
        <w:rPr>
          <w:spacing w:val="-3"/>
        </w:rPr>
        <w:t xml:space="preserve"> und </w:t>
      </w:r>
      <w:r w:rsidR="00205556">
        <w:rPr>
          <w:spacing w:val="-3"/>
        </w:rPr>
        <w:t xml:space="preserve">dabei </w:t>
      </w:r>
      <w:r w:rsidR="00205F7B">
        <w:rPr>
          <w:spacing w:val="-3"/>
        </w:rPr>
        <w:t>bürgerliches Ordnung</w:t>
      </w:r>
      <w:r w:rsidR="00205F7B">
        <w:rPr>
          <w:spacing w:val="-3"/>
        </w:rPr>
        <w:t>s</w:t>
      </w:r>
      <w:r w:rsidR="00205F7B">
        <w:rPr>
          <w:spacing w:val="-3"/>
        </w:rPr>
        <w:t xml:space="preserve">denken und </w:t>
      </w:r>
      <w:r w:rsidR="00205556">
        <w:rPr>
          <w:spacing w:val="-3"/>
        </w:rPr>
        <w:t xml:space="preserve">mörderische </w:t>
      </w:r>
      <w:r w:rsidR="00205F7B">
        <w:rPr>
          <w:spacing w:val="-3"/>
        </w:rPr>
        <w:t>Ekstase, der Schwung der Kirchenglocken und d</w:t>
      </w:r>
      <w:r w:rsidR="00205556">
        <w:rPr>
          <w:spacing w:val="-3"/>
        </w:rPr>
        <w:t>a</w:t>
      </w:r>
      <w:r w:rsidR="00205F7B">
        <w:rPr>
          <w:spacing w:val="-3"/>
        </w:rPr>
        <w:t xml:space="preserve">s Mordgeschrei </w:t>
      </w:r>
      <w:r w:rsidR="00205556">
        <w:rPr>
          <w:spacing w:val="-3"/>
        </w:rPr>
        <w:t xml:space="preserve">sich auf beklemmende Weise miteinander </w:t>
      </w:r>
      <w:r w:rsidR="00205F7B">
        <w:rPr>
          <w:spacing w:val="-3"/>
        </w:rPr>
        <w:t xml:space="preserve">vermischen: </w:t>
      </w:r>
    </w:p>
    <w:p w:rsidR="00FC5BF1" w:rsidRDefault="004C1564" w:rsidP="00DB17F3">
      <w:pPr>
        <w:tabs>
          <w:tab w:val="left" w:pos="144"/>
          <w:tab w:val="left" w:pos="1134"/>
          <w:tab w:val="left" w:pos="1584"/>
          <w:tab w:val="left" w:pos="2304"/>
          <w:tab w:val="left" w:pos="3024"/>
          <w:tab w:val="left" w:pos="3744"/>
          <w:tab w:val="left" w:pos="4464"/>
          <w:tab w:val="left" w:pos="5184"/>
          <w:tab w:val="left" w:pos="5904"/>
          <w:tab w:val="left" w:pos="6624"/>
        </w:tabs>
        <w:spacing w:after="0"/>
        <w:ind w:left="1134"/>
        <w:jc w:val="both"/>
      </w:pPr>
      <w:r>
        <w:t>„</w:t>
      </w:r>
      <w:r w:rsidR="00FC5BF1">
        <w:t xml:space="preserve">Er hörte und sah. Der Platz drunten wimmelte von Menschen, die aus den Gassen herzudrängten – alle tätig, keiner als müßiger Zuschauer. Ihr Geschäft war überall das gleiche: töten und sterben; und es geschah mit der höchsten Emsigkeit, dem Schwung der Glocken vergleichbar und </w:t>
      </w:r>
      <w:proofErr w:type="spellStart"/>
      <w:r w:rsidR="00FC5BF1">
        <w:t>angepaßt</w:t>
      </w:r>
      <w:proofErr w:type="spellEnd"/>
      <w:r w:rsidR="00FC5BF1">
        <w:t xml:space="preserve"> dem Takt des Mordgeschreis. Pünktliche Arbeit, und dennoch </w:t>
      </w:r>
      <w:proofErr w:type="spellStart"/>
      <w:r w:rsidR="00FC5BF1">
        <w:t>wieviel</w:t>
      </w:r>
      <w:proofErr w:type="spellEnd"/>
      <w:r w:rsidR="00FC5BF1">
        <w:t xml:space="preserve"> Abwechslung und Eigenheit! Ein Krieg</w:t>
      </w:r>
      <w:r w:rsidR="00FC5BF1">
        <w:t>s</w:t>
      </w:r>
      <w:r w:rsidR="00FC5BF1">
        <w:t>knecht schleifte einen alten Mann ordentlich an die Leine gebunden über den B</w:t>
      </w:r>
      <w:r w:rsidR="00FC5BF1">
        <w:t>o</w:t>
      </w:r>
      <w:r w:rsidR="00FC5BF1">
        <w:t xml:space="preserve">den, damit er ihn in den </w:t>
      </w:r>
      <w:proofErr w:type="spellStart"/>
      <w:r w:rsidR="00FC5BF1">
        <w:t>Fluß</w:t>
      </w:r>
      <w:proofErr w:type="spellEnd"/>
      <w:r w:rsidR="00FC5BF1">
        <w:t xml:space="preserve"> würfe. Ein Bürger erschlug einen anderen mit Sor</w:t>
      </w:r>
      <w:r w:rsidR="00FC5BF1">
        <w:t>g</w:t>
      </w:r>
      <w:r w:rsidR="00FC5BF1">
        <w:t xml:space="preserve">falt und Genauigkeit, dann lud er ihn sich auf und trug ihn zu einem Haufen, wo </w:t>
      </w:r>
      <w:r w:rsidR="00FC5BF1">
        <w:lastRenderedPageBreak/>
        <w:t>schon alle nackt waren. Das Volk entkleidete die Toten: das war Sache des Vo</w:t>
      </w:r>
      <w:r w:rsidR="00FC5BF1">
        <w:t>l</w:t>
      </w:r>
      <w:r w:rsidR="00FC5BF1">
        <w:t>kes, nicht der ehrbaren Leute. Jedem das Seine. Ehrbare Leute entfernten sich e</w:t>
      </w:r>
      <w:r w:rsidR="00FC5BF1">
        <w:t>i</w:t>
      </w:r>
      <w:r w:rsidR="00FC5BF1">
        <w:t>lig mit schweren Geldsäcken; sie kannten in den Häusern der andersgläubigen Nachbarn den Ort, wo etwas aufbewahrt wurde. [...] Ein Hund leckte seiner erst</w:t>
      </w:r>
      <w:r w:rsidR="00FC5BF1">
        <w:t>o</w:t>
      </w:r>
      <w:r w:rsidR="00FC5BF1">
        <w:t xml:space="preserve">chenen Herrin die Wunde, der gerührte Mörder </w:t>
      </w:r>
      <w:proofErr w:type="spellStart"/>
      <w:r w:rsidR="00FC5BF1">
        <w:t>mußte</w:t>
      </w:r>
      <w:proofErr w:type="spellEnd"/>
      <w:r w:rsidR="00FC5BF1">
        <w:t xml:space="preserve"> ihn streicheln, bevor er zum Folgenden Schritt. Denn sie haben auch ein Herz. Sie morden vielleicht im Leben nur einen Tag, aber Hunde verziehen sie alle Tage.</w:t>
      </w:r>
      <w:r>
        <w:t>“</w:t>
      </w:r>
      <w:r w:rsidR="000329E0">
        <w:rPr>
          <w:rStyle w:val="Funotenzeichen"/>
        </w:rPr>
        <w:footnoteReference w:id="10"/>
      </w:r>
    </w:p>
    <w:p w:rsidR="00205F7B" w:rsidRDefault="004102BF" w:rsidP="00DB17F3">
      <w:pPr>
        <w:tabs>
          <w:tab w:val="left" w:pos="144"/>
          <w:tab w:val="left" w:pos="1134"/>
          <w:tab w:val="left" w:pos="1584"/>
          <w:tab w:val="left" w:pos="2304"/>
          <w:tab w:val="left" w:pos="3024"/>
          <w:tab w:val="left" w:pos="3744"/>
          <w:tab w:val="left" w:pos="4464"/>
          <w:tab w:val="left" w:pos="5184"/>
          <w:tab w:val="left" w:pos="5904"/>
          <w:tab w:val="left" w:pos="6624"/>
        </w:tabs>
        <w:spacing w:after="0"/>
        <w:jc w:val="both"/>
      </w:pPr>
      <w:r>
        <w:t>D</w:t>
      </w:r>
      <w:r w:rsidR="00205F7B">
        <w:t xml:space="preserve">er Blick </w:t>
      </w:r>
      <w:r>
        <w:t xml:space="preserve">des Betrachters wird – wie durch einen Zufall – dann </w:t>
      </w:r>
      <w:r w:rsidR="00205F7B">
        <w:t>auf eine Windmühle gelenkt, deren Flügel sich kontinuierlich drehen</w:t>
      </w:r>
      <w:r w:rsidR="007F30DC">
        <w:t>:</w:t>
      </w:r>
      <w:r w:rsidR="00205F7B">
        <w:t xml:space="preserve"> das Bildsymbol der zeitlichen Kontinuität</w:t>
      </w:r>
      <w:r>
        <w:t xml:space="preserve">, des </w:t>
      </w:r>
      <w:r w:rsidR="00252B4D">
        <w:t>W</w:t>
      </w:r>
      <w:r>
        <w:t>eit</w:t>
      </w:r>
      <w:r>
        <w:t>e</w:t>
      </w:r>
      <w:r>
        <w:t xml:space="preserve">ren auf eine </w:t>
      </w:r>
      <w:r w:rsidR="007F30DC">
        <w:t xml:space="preserve">Brücke und </w:t>
      </w:r>
      <w:r>
        <w:t xml:space="preserve">auf den </w:t>
      </w:r>
      <w:r w:rsidR="007F30DC">
        <w:t>Fluss</w:t>
      </w:r>
      <w:r>
        <w:t>, über den die Brücke führt</w:t>
      </w:r>
      <w:r w:rsidR="00205F7B">
        <w:t>:</w:t>
      </w:r>
      <w:r w:rsidR="007F30DC">
        <w:t xml:space="preserve"> </w:t>
      </w:r>
      <w:r>
        <w:t xml:space="preserve">beides </w:t>
      </w:r>
      <w:r w:rsidR="007F30DC">
        <w:t>Symbole der verge</w:t>
      </w:r>
      <w:r w:rsidR="007F30DC">
        <w:t>b</w:t>
      </w:r>
      <w:r w:rsidR="007F30DC">
        <w:t xml:space="preserve">lichen Hoffnung auf Flucht und Rettung. Der Himmel ist </w:t>
      </w:r>
      <w:r w:rsidR="001D4B6A">
        <w:t>„</w:t>
      </w:r>
      <w:r w:rsidR="007F30DC">
        <w:t>blau</w:t>
      </w:r>
      <w:r w:rsidR="001D4B6A">
        <w:t>“</w:t>
      </w:r>
      <w:r w:rsidR="007F30DC">
        <w:t xml:space="preserve">, das geschäftige Treiben </w:t>
      </w:r>
      <w:r>
        <w:t xml:space="preserve">der Mordenden </w:t>
      </w:r>
      <w:r w:rsidR="007F30DC">
        <w:t xml:space="preserve">gleicht dem emsiger „Bienen“: in der kompositorischen Fügung insgesamt eine bestürzende </w:t>
      </w:r>
      <w:r>
        <w:t xml:space="preserve">bildliche </w:t>
      </w:r>
      <w:r w:rsidR="007F30DC">
        <w:t xml:space="preserve">Vermischung von </w:t>
      </w:r>
      <w:r>
        <w:t xml:space="preserve">Perversion und traditioneller </w:t>
      </w:r>
      <w:r w:rsidR="007F30DC">
        <w:t>Idyllik:</w:t>
      </w:r>
    </w:p>
    <w:p w:rsidR="00FC5BF1" w:rsidRDefault="004C1564" w:rsidP="00DB17F3">
      <w:pPr>
        <w:tabs>
          <w:tab w:val="left" w:pos="144"/>
          <w:tab w:val="left" w:pos="1134"/>
          <w:tab w:val="left" w:pos="1584"/>
          <w:tab w:val="left" w:pos="2304"/>
          <w:tab w:val="left" w:pos="3024"/>
          <w:tab w:val="left" w:pos="3744"/>
          <w:tab w:val="left" w:pos="4464"/>
          <w:tab w:val="left" w:pos="5184"/>
          <w:tab w:val="left" w:pos="5904"/>
          <w:tab w:val="left" w:pos="6624"/>
        </w:tabs>
        <w:spacing w:after="0"/>
        <w:ind w:left="1134"/>
        <w:jc w:val="both"/>
      </w:pPr>
      <w:r>
        <w:t>„</w:t>
      </w:r>
      <w:r w:rsidR="00FC5BF1">
        <w:t>Am</w:t>
      </w:r>
      <w:r w:rsidR="00FC5BF1" w:rsidRPr="00FC5BF1">
        <w:t xml:space="preserve"> </w:t>
      </w:r>
      <w:r w:rsidR="00FC5BF1">
        <w:t>Ende einer Gasse war ein Hügel sichtbar, darauf drehten sich die Flügel e</w:t>
      </w:r>
      <w:r w:rsidR="00FC5BF1">
        <w:t>i</w:t>
      </w:r>
      <w:r w:rsidR="00FC5BF1">
        <w:t xml:space="preserve">ner Windmühle, jetzt und immer. Die Brücke über den </w:t>
      </w:r>
      <w:proofErr w:type="spellStart"/>
      <w:r w:rsidR="00FC5BF1">
        <w:t>Fluß</w:t>
      </w:r>
      <w:proofErr w:type="spellEnd"/>
      <w:r w:rsidR="00FC5BF1">
        <w:t xml:space="preserve"> würde ins Freie</w:t>
      </w:r>
      <w:r w:rsidR="00FC5BF1" w:rsidRPr="00FC5BF1">
        <w:t xml:space="preserve"> </w:t>
      </w:r>
      <w:r w:rsidR="00FC5BF1">
        <w:t>fü</w:t>
      </w:r>
      <w:r w:rsidR="00FC5BF1">
        <w:t>h</w:t>
      </w:r>
      <w:r w:rsidR="00FC5BF1">
        <w:t>ren, könnte man nur flüchten. Ein Gedränge Flüchtender fiel auf der Brücke unter den Schlägen der Wache. Denn die Wache war unter der Führung von Berittenen zur Stelle</w:t>
      </w:r>
      <w:r w:rsidR="00FC5BF1" w:rsidRPr="00FC5BF1">
        <w:t xml:space="preserve"> </w:t>
      </w:r>
      <w:r w:rsidR="00FC5BF1">
        <w:t>und sorgte für die Erhaltung der Sicherheit. Fußvolk und Reiter bewe</w:t>
      </w:r>
      <w:r w:rsidR="00FC5BF1">
        <w:t>g</w:t>
      </w:r>
      <w:r w:rsidR="00FC5BF1">
        <w:t xml:space="preserve">ten sich bequem in den Abständen, die jeder Mordende zwischen sich und den Nächsten offenließ. Man braucht Raum, wie auch die Biene ihn haben </w:t>
      </w:r>
      <w:proofErr w:type="spellStart"/>
      <w:r w:rsidR="00FC5BF1">
        <w:t>muß</w:t>
      </w:r>
      <w:proofErr w:type="spellEnd"/>
      <w:r w:rsidR="00FC5BF1">
        <w:t xml:space="preserve"> für i</w:t>
      </w:r>
      <w:r w:rsidR="00FC5BF1">
        <w:t>h</w:t>
      </w:r>
      <w:r w:rsidR="00FC5BF1">
        <w:t>re Emsigkeit. Wäre</w:t>
      </w:r>
      <w:r w:rsidR="00FC5BF1" w:rsidRPr="00FC5BF1">
        <w:t xml:space="preserve"> </w:t>
      </w:r>
      <w:r w:rsidR="00FC5BF1">
        <w:t>nicht all das Blut gewesen und noch einiges andere, besonders der höllenmäßige Lärm: aus einer gewissen Entfernung hätte man meinen können, diese guten Leute wären auf einer Wiese beschäftigt mit Blumenpflücken. Jede</w:t>
      </w:r>
      <w:r w:rsidR="00FC5BF1">
        <w:t>n</w:t>
      </w:r>
      <w:r w:rsidR="00FC5BF1">
        <w:t>falls blaute über ihnen der Himmel in sonnigster Heiterkeit.</w:t>
      </w:r>
      <w:r>
        <w:t>“</w:t>
      </w:r>
      <w:r w:rsidR="00F30334" w:rsidRPr="00F30334">
        <w:rPr>
          <w:rStyle w:val="Funotenzeichen"/>
          <w:spacing w:val="-3"/>
        </w:rPr>
        <w:t xml:space="preserve"> </w:t>
      </w:r>
      <w:r w:rsidR="00F30334">
        <w:rPr>
          <w:rStyle w:val="Funotenzeichen"/>
          <w:spacing w:val="-3"/>
        </w:rPr>
        <w:footnoteReference w:id="11"/>
      </w:r>
      <w:r w:rsidR="00FC5BF1">
        <w:t xml:space="preserve"> </w:t>
      </w:r>
    </w:p>
    <w:p w:rsidR="00411E83" w:rsidRDefault="00205F7B" w:rsidP="00DB17F3">
      <w:pPr>
        <w:tabs>
          <w:tab w:val="left" w:pos="-720"/>
        </w:tabs>
        <w:spacing w:after="0"/>
        <w:jc w:val="both"/>
        <w:rPr>
          <w:spacing w:val="-3"/>
        </w:rPr>
      </w:pPr>
      <w:r>
        <w:rPr>
          <w:spacing w:val="-3"/>
        </w:rPr>
        <w:t>D</w:t>
      </w:r>
      <w:r w:rsidR="00411E83">
        <w:rPr>
          <w:spacing w:val="-3"/>
        </w:rPr>
        <w:t xml:space="preserve">em </w:t>
      </w:r>
      <w:r w:rsidR="008403A9">
        <w:rPr>
          <w:spacing w:val="-3"/>
        </w:rPr>
        <w:t xml:space="preserve">hier </w:t>
      </w:r>
      <w:r w:rsidR="00411E83">
        <w:rPr>
          <w:spacing w:val="-3"/>
        </w:rPr>
        <w:t xml:space="preserve">beschriebenen </w:t>
      </w:r>
      <w:r w:rsidR="008403A9">
        <w:rPr>
          <w:spacing w:val="-3"/>
        </w:rPr>
        <w:t>Geschehen</w:t>
      </w:r>
      <w:r w:rsidR="00411E83">
        <w:rPr>
          <w:spacing w:val="-3"/>
        </w:rPr>
        <w:t xml:space="preserve"> liegt, wie seit langem nachgewiesen, die bekannte Darste</w:t>
      </w:r>
      <w:r w:rsidR="00411E83">
        <w:rPr>
          <w:spacing w:val="-3"/>
        </w:rPr>
        <w:t>l</w:t>
      </w:r>
      <w:r w:rsidR="00411E83">
        <w:rPr>
          <w:spacing w:val="-3"/>
        </w:rPr>
        <w:t>lung de</w:t>
      </w:r>
      <w:r w:rsidR="002D504B">
        <w:rPr>
          <w:spacing w:val="-3"/>
        </w:rPr>
        <w:t xml:space="preserve">r </w:t>
      </w:r>
      <w:proofErr w:type="spellStart"/>
      <w:r w:rsidR="002D504B">
        <w:rPr>
          <w:spacing w:val="-3"/>
        </w:rPr>
        <w:t>Bartholomäusnacht</w:t>
      </w:r>
      <w:proofErr w:type="spellEnd"/>
      <w:r w:rsidR="00411E83">
        <w:rPr>
          <w:spacing w:val="-3"/>
        </w:rPr>
        <w:t xml:space="preserve"> von François Dubois zugrunde, die häufig in Geschichtsbüchern abgebildet ist.</w:t>
      </w:r>
      <w:r w:rsidR="00411E83">
        <w:rPr>
          <w:rStyle w:val="Funotenzeichen"/>
          <w:spacing w:val="-3"/>
        </w:rPr>
        <w:footnoteReference w:id="12"/>
      </w:r>
      <w:r w:rsidR="00411E83">
        <w:rPr>
          <w:spacing w:val="-3"/>
        </w:rPr>
        <w:t xml:space="preserve"> Die Einzelheiten dieser Szene sind durch diese Quelle sowie durch weitere schriftliche Quellen in nahezu allen Details gesichert.</w:t>
      </w:r>
      <w:r w:rsidR="00411E83">
        <w:rPr>
          <w:rStyle w:val="Funotenzeichen"/>
          <w:spacing w:val="-3"/>
        </w:rPr>
        <w:footnoteReference w:id="13"/>
      </w:r>
      <w:r w:rsidR="00411E83">
        <w:rPr>
          <w:spacing w:val="-3"/>
        </w:rPr>
        <w:t xml:space="preserve"> Das betrifft auch ein </w:t>
      </w:r>
      <w:r w:rsidR="003E2DDF">
        <w:rPr>
          <w:spacing w:val="-3"/>
        </w:rPr>
        <w:t>Merkmal</w:t>
      </w:r>
      <w:r w:rsidR="00411E83">
        <w:rPr>
          <w:spacing w:val="-3"/>
        </w:rPr>
        <w:t>, d</w:t>
      </w:r>
      <w:r w:rsidR="003E2DDF">
        <w:rPr>
          <w:spacing w:val="-3"/>
        </w:rPr>
        <w:t>as</w:t>
      </w:r>
      <w:r w:rsidR="00411E83">
        <w:rPr>
          <w:spacing w:val="-3"/>
        </w:rPr>
        <w:t xml:space="preserve"> heute als aktualisierender Zusatz erscheint: dass nämlich die Mordpartei weiße Abzeichen trägt. Hei</w:t>
      </w:r>
      <w:r w:rsidR="00411E83">
        <w:rPr>
          <w:spacing w:val="-3"/>
        </w:rPr>
        <w:t>n</w:t>
      </w:r>
      <w:r w:rsidR="00411E83">
        <w:rPr>
          <w:spacing w:val="-3"/>
        </w:rPr>
        <w:t xml:space="preserve">rich Mann spricht deshalb von der Mordpartei als von </w:t>
      </w:r>
      <w:r w:rsidR="004C1564">
        <w:rPr>
          <w:spacing w:val="-3"/>
        </w:rPr>
        <w:t>„</w:t>
      </w:r>
      <w:r w:rsidR="00411E83">
        <w:rPr>
          <w:spacing w:val="-3"/>
        </w:rPr>
        <w:t>Weißgardisten</w:t>
      </w:r>
      <w:r w:rsidR="004C1564">
        <w:rPr>
          <w:spacing w:val="-3"/>
        </w:rPr>
        <w:t>“</w:t>
      </w:r>
      <w:r w:rsidR="00F36EFB">
        <w:rPr>
          <w:spacing w:val="-3"/>
        </w:rPr>
        <w:t>, belegt sie also mit einem Begriff, der seit der Oktoberrevolution für die Konterrevolution gilt</w:t>
      </w:r>
      <w:r w:rsidR="00411E83">
        <w:rPr>
          <w:spacing w:val="-3"/>
        </w:rPr>
        <w:t xml:space="preserve">. </w:t>
      </w:r>
      <w:proofErr w:type="spellStart"/>
      <w:r w:rsidR="00411E83">
        <w:rPr>
          <w:spacing w:val="-3"/>
        </w:rPr>
        <w:t>Hadwig</w:t>
      </w:r>
      <w:proofErr w:type="spellEnd"/>
      <w:r w:rsidR="00411E83">
        <w:rPr>
          <w:spacing w:val="-3"/>
        </w:rPr>
        <w:t xml:space="preserve"> Kirchner-Klemperer hat gezeigt, dass </w:t>
      </w:r>
      <w:r w:rsidR="003E2DDF">
        <w:rPr>
          <w:spacing w:val="-3"/>
        </w:rPr>
        <w:t xml:space="preserve">auch </w:t>
      </w:r>
      <w:r w:rsidR="00411E83">
        <w:rPr>
          <w:spacing w:val="-3"/>
        </w:rPr>
        <w:t xml:space="preserve">dieses Detail durch die Memoiren der </w:t>
      </w:r>
      <w:proofErr w:type="spellStart"/>
      <w:r w:rsidR="00411E83">
        <w:rPr>
          <w:spacing w:val="-3"/>
        </w:rPr>
        <w:t>Mme</w:t>
      </w:r>
      <w:proofErr w:type="spellEnd"/>
      <w:r w:rsidR="00411E83">
        <w:rPr>
          <w:spacing w:val="-3"/>
        </w:rPr>
        <w:t>. de Mornay übe</w:t>
      </w:r>
      <w:r w:rsidR="00411E83">
        <w:rPr>
          <w:spacing w:val="-3"/>
        </w:rPr>
        <w:t>r</w:t>
      </w:r>
      <w:r w:rsidR="00411E83">
        <w:rPr>
          <w:spacing w:val="-3"/>
        </w:rPr>
        <w:t>liefert ist.</w:t>
      </w:r>
      <w:r w:rsidR="00411E83">
        <w:rPr>
          <w:rStyle w:val="Funotenzeichen"/>
          <w:spacing w:val="-3"/>
        </w:rPr>
        <w:footnoteReference w:id="14"/>
      </w:r>
    </w:p>
    <w:p w:rsidR="00502D39" w:rsidRDefault="00502D39" w:rsidP="00DB17F3">
      <w:pPr>
        <w:tabs>
          <w:tab w:val="left" w:pos="-720"/>
        </w:tabs>
        <w:spacing w:after="0"/>
        <w:jc w:val="both"/>
        <w:rPr>
          <w:spacing w:val="-3"/>
        </w:rPr>
      </w:pPr>
      <w:r>
        <w:rPr>
          <w:spacing w:val="-3"/>
        </w:rPr>
        <w:tab/>
        <w:t xml:space="preserve">Trotz der historischen Treue im Detail ist die Szene mit Gewissheit ein </w:t>
      </w:r>
      <w:r w:rsidR="00746BC8">
        <w:rPr>
          <w:spacing w:val="-3"/>
        </w:rPr>
        <w:t>absichtsvoll komponiertes</w:t>
      </w:r>
      <w:r>
        <w:rPr>
          <w:spacing w:val="-3"/>
        </w:rPr>
        <w:t xml:space="preserve"> Artefakt, und zwar in der Art, dass sich in dem Geschehen </w:t>
      </w:r>
      <w:r w:rsidR="00746BC8">
        <w:rPr>
          <w:spacing w:val="-3"/>
        </w:rPr>
        <w:t xml:space="preserve">und in den für </w:t>
      </w:r>
      <w:r w:rsidR="00B57AD7">
        <w:rPr>
          <w:spacing w:val="-3"/>
        </w:rPr>
        <w:t>sein</w:t>
      </w:r>
      <w:r w:rsidR="00746BC8">
        <w:rPr>
          <w:spacing w:val="-3"/>
        </w:rPr>
        <w:t xml:space="preserve">e Darstellung verwendeten Bildern wie in dem entsprechenden sprachlichen Material </w:t>
      </w:r>
      <w:r>
        <w:rPr>
          <w:spacing w:val="-3"/>
        </w:rPr>
        <w:t>grundlege</w:t>
      </w:r>
      <w:r>
        <w:rPr>
          <w:spacing w:val="-3"/>
        </w:rPr>
        <w:t>n</w:t>
      </w:r>
      <w:r>
        <w:rPr>
          <w:spacing w:val="-3"/>
        </w:rPr>
        <w:t xml:space="preserve">de politische </w:t>
      </w:r>
      <w:r w:rsidR="00F36EFB" w:rsidRPr="00746BC8">
        <w:rPr>
          <w:spacing w:val="-3"/>
        </w:rPr>
        <w:t>Überzeugun</w:t>
      </w:r>
      <w:r w:rsidRPr="00746BC8">
        <w:rPr>
          <w:spacing w:val="-3"/>
        </w:rPr>
        <w:t>gen</w:t>
      </w:r>
      <w:r w:rsidRPr="00502D39">
        <w:rPr>
          <w:i/>
          <w:spacing w:val="-3"/>
        </w:rPr>
        <w:t xml:space="preserve"> </w:t>
      </w:r>
      <w:r w:rsidRPr="00746BC8">
        <w:rPr>
          <w:spacing w:val="-3"/>
        </w:rPr>
        <w:t>des Autors</w:t>
      </w:r>
      <w:r w:rsidRPr="00502D39">
        <w:rPr>
          <w:i/>
          <w:spacing w:val="-3"/>
        </w:rPr>
        <w:t xml:space="preserve"> </w:t>
      </w:r>
      <w:r>
        <w:rPr>
          <w:spacing w:val="-3"/>
        </w:rPr>
        <w:t xml:space="preserve">– und erst in zweiter Linie solche seiner Hauptperson – </w:t>
      </w:r>
      <w:r>
        <w:rPr>
          <w:spacing w:val="-3"/>
        </w:rPr>
        <w:lastRenderedPageBreak/>
        <w:t xml:space="preserve">spiegeln. </w:t>
      </w:r>
      <w:r w:rsidR="00B57AD7">
        <w:rPr>
          <w:spacing w:val="-3"/>
        </w:rPr>
        <w:t xml:space="preserve">Die </w:t>
      </w:r>
      <w:r>
        <w:rPr>
          <w:spacing w:val="-3"/>
        </w:rPr>
        <w:t>Szene ist</w:t>
      </w:r>
      <w:r w:rsidR="00B57AD7">
        <w:rPr>
          <w:spacing w:val="-3"/>
        </w:rPr>
        <w:t xml:space="preserve"> </w:t>
      </w:r>
      <w:r w:rsidR="003E2DDF">
        <w:rPr>
          <w:spacing w:val="-3"/>
        </w:rPr>
        <w:t xml:space="preserve">zum einen </w:t>
      </w:r>
      <w:r w:rsidR="00B57AD7">
        <w:rPr>
          <w:spacing w:val="-3"/>
        </w:rPr>
        <w:t xml:space="preserve">absichtsvoll in einen </w:t>
      </w:r>
      <w:r w:rsidR="003E2DDF">
        <w:rPr>
          <w:spacing w:val="-3"/>
        </w:rPr>
        <w:t xml:space="preserve">klar konturierten </w:t>
      </w:r>
      <w:proofErr w:type="spellStart"/>
      <w:r w:rsidR="00B57AD7">
        <w:rPr>
          <w:spacing w:val="-3"/>
        </w:rPr>
        <w:t>motivlichen</w:t>
      </w:r>
      <w:proofErr w:type="spellEnd"/>
      <w:r w:rsidR="00B57AD7">
        <w:rPr>
          <w:spacing w:val="-3"/>
        </w:rPr>
        <w:t xml:space="preserve"> Rahmen eingegliedert: Sie ist</w:t>
      </w:r>
      <w:r>
        <w:rPr>
          <w:spacing w:val="-3"/>
        </w:rPr>
        <w:t xml:space="preserve"> überschrieben mit </w:t>
      </w:r>
      <w:r w:rsidR="004C1564">
        <w:rPr>
          <w:spacing w:val="-3"/>
        </w:rPr>
        <w:t>„</w:t>
      </w:r>
      <w:r>
        <w:rPr>
          <w:spacing w:val="-3"/>
        </w:rPr>
        <w:t>Das Ende</w:t>
      </w:r>
      <w:r w:rsidR="004C1564">
        <w:rPr>
          <w:spacing w:val="-3"/>
        </w:rPr>
        <w:t>“</w:t>
      </w:r>
      <w:r>
        <w:rPr>
          <w:spacing w:val="-3"/>
        </w:rPr>
        <w:t xml:space="preserve"> und steht am Schluss eines Kapitels, das </w:t>
      </w:r>
      <w:r w:rsidR="00B57AD7">
        <w:rPr>
          <w:spacing w:val="-3"/>
        </w:rPr>
        <w:t>mit</w:t>
      </w:r>
      <w:r>
        <w:rPr>
          <w:spacing w:val="-3"/>
        </w:rPr>
        <w:t xml:space="preserve"> </w:t>
      </w:r>
      <w:r w:rsidR="004C1564">
        <w:rPr>
          <w:spacing w:val="-3"/>
        </w:rPr>
        <w:t>„</w:t>
      </w:r>
      <w:r>
        <w:rPr>
          <w:spacing w:val="-3"/>
        </w:rPr>
        <w:t>Margot</w:t>
      </w:r>
      <w:r w:rsidR="004C1564">
        <w:rPr>
          <w:spacing w:val="-3"/>
        </w:rPr>
        <w:t>“</w:t>
      </w:r>
      <w:r w:rsidR="00B57AD7">
        <w:rPr>
          <w:spacing w:val="-3"/>
        </w:rPr>
        <w:t xml:space="preserve"> überschrieben ist</w:t>
      </w:r>
      <w:r>
        <w:rPr>
          <w:spacing w:val="-3"/>
        </w:rPr>
        <w:t>. Innerhalb der kunstvollen thematischen Komposition, die für den Roman charakteristisch ist, ergibt sich so eine Spiegelung miteinander verwandter, jedoch ve</w:t>
      </w:r>
      <w:r>
        <w:rPr>
          <w:spacing w:val="-3"/>
        </w:rPr>
        <w:t>r</w:t>
      </w:r>
      <w:r>
        <w:rPr>
          <w:spacing w:val="-3"/>
        </w:rPr>
        <w:t>schiedenartiger, äußerlich z.T. einander widersprechender Elemente. Das Blutbad erscheint d</w:t>
      </w:r>
      <w:r>
        <w:rPr>
          <w:spacing w:val="-3"/>
        </w:rPr>
        <w:t>a</w:t>
      </w:r>
      <w:r>
        <w:rPr>
          <w:spacing w:val="-3"/>
        </w:rPr>
        <w:t>nach als ein korrespondierender Aspekt zur Verführung durch die sexuelle Lust, also zum übe</w:t>
      </w:r>
      <w:r>
        <w:rPr>
          <w:spacing w:val="-3"/>
        </w:rPr>
        <w:t>r</w:t>
      </w:r>
      <w:r>
        <w:rPr>
          <w:spacing w:val="-3"/>
        </w:rPr>
        <w:t>greifenden Thema</w:t>
      </w:r>
      <w:r w:rsidR="003E2DDF">
        <w:rPr>
          <w:spacing w:val="-3"/>
        </w:rPr>
        <w:t xml:space="preserve"> des Kapitels</w:t>
      </w:r>
      <w:r>
        <w:rPr>
          <w:spacing w:val="-3"/>
        </w:rPr>
        <w:t xml:space="preserve">. Diese </w:t>
      </w:r>
      <w:r w:rsidR="003E2DDF">
        <w:rPr>
          <w:spacing w:val="-3"/>
        </w:rPr>
        <w:t>k</w:t>
      </w:r>
      <w:r>
        <w:rPr>
          <w:spacing w:val="-3"/>
        </w:rPr>
        <w:t>omposito</w:t>
      </w:r>
      <w:r w:rsidR="003E2DDF">
        <w:rPr>
          <w:spacing w:val="-3"/>
        </w:rPr>
        <w:t>rische Fügung</w:t>
      </w:r>
      <w:r>
        <w:rPr>
          <w:spacing w:val="-3"/>
        </w:rPr>
        <w:t xml:space="preserve"> wiederholt sich noch einmal im </w:t>
      </w:r>
      <w:r w:rsidR="00ED20E1">
        <w:rPr>
          <w:spacing w:val="-3"/>
        </w:rPr>
        <w:t>D</w:t>
      </w:r>
      <w:r>
        <w:rPr>
          <w:spacing w:val="-3"/>
        </w:rPr>
        <w:t xml:space="preserve">etail, </w:t>
      </w:r>
      <w:r w:rsidR="003E2DDF">
        <w:rPr>
          <w:spacing w:val="-3"/>
        </w:rPr>
        <w:t>indem</w:t>
      </w:r>
      <w:r>
        <w:rPr>
          <w:spacing w:val="-3"/>
        </w:rPr>
        <w:t xml:space="preserve"> das Kapitel damit</w:t>
      </w:r>
      <w:r w:rsidR="003E2DDF" w:rsidRPr="003E2DDF">
        <w:rPr>
          <w:spacing w:val="-3"/>
        </w:rPr>
        <w:t xml:space="preserve"> </w:t>
      </w:r>
      <w:r w:rsidR="003E2DDF">
        <w:rPr>
          <w:spacing w:val="-3"/>
        </w:rPr>
        <w:t>endet</w:t>
      </w:r>
      <w:r>
        <w:rPr>
          <w:spacing w:val="-3"/>
        </w:rPr>
        <w:t xml:space="preserve">, dass Henri beobachtet, wie seinem Erzieher </w:t>
      </w:r>
      <w:proofErr w:type="spellStart"/>
      <w:r>
        <w:rPr>
          <w:spacing w:val="-3"/>
        </w:rPr>
        <w:t>Beauvais</w:t>
      </w:r>
      <w:proofErr w:type="spellEnd"/>
      <w:r>
        <w:rPr>
          <w:spacing w:val="-3"/>
        </w:rPr>
        <w:t xml:space="preserve"> der Kopf abgeschnitten wird, wie aus dem nächsten Haus eine Frau gerannt kommt, die das hervo</w:t>
      </w:r>
      <w:r>
        <w:rPr>
          <w:spacing w:val="-3"/>
        </w:rPr>
        <w:t>r</w:t>
      </w:r>
      <w:r>
        <w:rPr>
          <w:spacing w:val="-3"/>
        </w:rPr>
        <w:t>schießende Blut in einem Gefäß auffängt und es dann säuft.</w:t>
      </w:r>
      <w:r>
        <w:rPr>
          <w:rStyle w:val="Funotenzeichen"/>
          <w:spacing w:val="-3"/>
        </w:rPr>
        <w:footnoteReference w:id="15"/>
      </w:r>
      <w:r>
        <w:rPr>
          <w:spacing w:val="-3"/>
        </w:rPr>
        <w:t xml:space="preserve"> Dieses Detail findet sich </w:t>
      </w:r>
      <w:r w:rsidRPr="00B57AD7">
        <w:rPr>
          <w:i/>
          <w:spacing w:val="-3"/>
        </w:rPr>
        <w:t xml:space="preserve">nicht </w:t>
      </w:r>
      <w:r>
        <w:rPr>
          <w:spacing w:val="-3"/>
        </w:rPr>
        <w:t xml:space="preserve">auf dem Bild von Dubois. Der Exzess trägt deutlich perverse Züge, und </w:t>
      </w:r>
      <w:r w:rsidR="003E2DDF">
        <w:rPr>
          <w:spacing w:val="-3"/>
        </w:rPr>
        <w:t>er ist offensichtlich</w:t>
      </w:r>
      <w:r>
        <w:rPr>
          <w:spacing w:val="-3"/>
        </w:rPr>
        <w:t xml:space="preserve"> ein Spiegel der Gesamtsituation: des politischen Einfalls der </w:t>
      </w:r>
      <w:proofErr w:type="spellStart"/>
      <w:r>
        <w:rPr>
          <w:spacing w:val="-3"/>
        </w:rPr>
        <w:t>Mme</w:t>
      </w:r>
      <w:proofErr w:type="spellEnd"/>
      <w:r>
        <w:rPr>
          <w:spacing w:val="-3"/>
        </w:rPr>
        <w:t xml:space="preserve">. Catherine, eine Hochzeitsfeier wie die Henris und Margots </w:t>
      </w:r>
      <w:r w:rsidR="003E2DDF">
        <w:rPr>
          <w:spacing w:val="-3"/>
        </w:rPr>
        <w:t>mit der Exekution eines</w:t>
      </w:r>
      <w:r>
        <w:rPr>
          <w:spacing w:val="-3"/>
        </w:rPr>
        <w:t xml:space="preserve"> Massakers zu ver</w:t>
      </w:r>
      <w:r w:rsidR="003E2DDF">
        <w:rPr>
          <w:spacing w:val="-3"/>
        </w:rPr>
        <w:t>bind</w:t>
      </w:r>
      <w:r>
        <w:rPr>
          <w:spacing w:val="-3"/>
        </w:rPr>
        <w:t>en.</w:t>
      </w:r>
      <w:r>
        <w:rPr>
          <w:rStyle w:val="Funotenzeichen"/>
          <w:spacing w:val="-3"/>
        </w:rPr>
        <w:footnoteReference w:id="16"/>
      </w:r>
    </w:p>
    <w:p w:rsidR="005A72C2" w:rsidRDefault="00502D39" w:rsidP="00DB17F3">
      <w:pPr>
        <w:tabs>
          <w:tab w:val="left" w:pos="-720"/>
        </w:tabs>
        <w:spacing w:after="0"/>
        <w:jc w:val="both"/>
        <w:rPr>
          <w:spacing w:val="-3"/>
        </w:rPr>
      </w:pPr>
      <w:r>
        <w:rPr>
          <w:spacing w:val="-3"/>
        </w:rPr>
        <w:tab/>
        <w:t xml:space="preserve">Bemerkenswert </w:t>
      </w:r>
      <w:r w:rsidR="003E2DDF">
        <w:rPr>
          <w:spacing w:val="-3"/>
        </w:rPr>
        <w:t xml:space="preserve">sind </w:t>
      </w:r>
      <w:r>
        <w:rPr>
          <w:spacing w:val="-3"/>
        </w:rPr>
        <w:t xml:space="preserve">vor allem </w:t>
      </w:r>
      <w:r w:rsidR="003E2DDF">
        <w:rPr>
          <w:spacing w:val="-3"/>
        </w:rPr>
        <w:t>auch die stilistischen Elemente</w:t>
      </w:r>
      <w:r>
        <w:rPr>
          <w:spacing w:val="-3"/>
        </w:rPr>
        <w:t xml:space="preserve">, </w:t>
      </w:r>
      <w:r w:rsidR="003E2DDF">
        <w:rPr>
          <w:spacing w:val="-3"/>
        </w:rPr>
        <w:t xml:space="preserve">mit denen </w:t>
      </w:r>
      <w:r>
        <w:rPr>
          <w:spacing w:val="-3"/>
        </w:rPr>
        <w:t>diese Szene geschildert wird</w:t>
      </w:r>
      <w:r w:rsidR="003E2DDF">
        <w:rPr>
          <w:spacing w:val="-3"/>
        </w:rPr>
        <w:t>: Sprache und Rhythmus</w:t>
      </w:r>
      <w:r>
        <w:rPr>
          <w:spacing w:val="-3"/>
        </w:rPr>
        <w:t>. In der Darstellung der Mordszene dominiert nicht die Ekstase, sondern im Gegenteil der Gestus nüchtern-aufmerksamer Beobachtung. Das ist z</w:t>
      </w:r>
      <w:r>
        <w:rPr>
          <w:spacing w:val="-3"/>
        </w:rPr>
        <w:t>u</w:t>
      </w:r>
      <w:r>
        <w:rPr>
          <w:spacing w:val="-3"/>
        </w:rPr>
        <w:t xml:space="preserve">nächst durch die räumliche Distanz bedingt, aus der Henri die Szene beobachtet. Henri </w:t>
      </w:r>
      <w:r w:rsidR="004F3F07">
        <w:rPr>
          <w:spacing w:val="-3"/>
        </w:rPr>
        <w:t xml:space="preserve">blickt aus einem Fenster des Louvre herab auf das Geschehen vor dem Louvre. Er </w:t>
      </w:r>
      <w:r w:rsidR="003E2DDF">
        <w:rPr>
          <w:spacing w:val="-3"/>
        </w:rPr>
        <w:t xml:space="preserve">ist zudem, während er das Geschehen beobachtet, noch </w:t>
      </w:r>
      <w:r>
        <w:rPr>
          <w:spacing w:val="-3"/>
        </w:rPr>
        <w:t xml:space="preserve">dermaßen von den </w:t>
      </w:r>
      <w:r w:rsidR="003E2DDF">
        <w:rPr>
          <w:spacing w:val="-3"/>
        </w:rPr>
        <w:t>Ereig</w:t>
      </w:r>
      <w:r>
        <w:rPr>
          <w:spacing w:val="-3"/>
        </w:rPr>
        <w:t>nissen der Nacht</w:t>
      </w:r>
      <w:r w:rsidR="004F3F07">
        <w:rPr>
          <w:spacing w:val="-3"/>
        </w:rPr>
        <w:t>, dem Morden auf den Gängen des Louvre,</w:t>
      </w:r>
      <w:r>
        <w:rPr>
          <w:spacing w:val="-3"/>
        </w:rPr>
        <w:t xml:space="preserve"> psychisch wie intellektuell in den Bann geschlagen, dass er zwar die Details exakt wahrn</w:t>
      </w:r>
      <w:r w:rsidR="005A72C2">
        <w:rPr>
          <w:spacing w:val="-3"/>
        </w:rPr>
        <w:t>immt</w:t>
      </w:r>
      <w:r>
        <w:rPr>
          <w:spacing w:val="-3"/>
        </w:rPr>
        <w:t>, sich ihre Konse</w:t>
      </w:r>
      <w:r w:rsidR="00F420AD">
        <w:rPr>
          <w:spacing w:val="-3"/>
        </w:rPr>
        <w:t>q</w:t>
      </w:r>
      <w:r>
        <w:rPr>
          <w:spacing w:val="-3"/>
        </w:rPr>
        <w:t>u</w:t>
      </w:r>
      <w:r w:rsidR="00F420AD">
        <w:rPr>
          <w:spacing w:val="-3"/>
        </w:rPr>
        <w:t>enzen jedoch nicht oder nur unzulänglich zu vergegenwärt</w:t>
      </w:r>
      <w:r w:rsidR="00F420AD">
        <w:rPr>
          <w:spacing w:val="-3"/>
        </w:rPr>
        <w:t>i</w:t>
      </w:r>
      <w:r w:rsidR="00F420AD">
        <w:rPr>
          <w:spacing w:val="-3"/>
        </w:rPr>
        <w:t>gen vermag.</w:t>
      </w:r>
      <w:r w:rsidR="00F420AD">
        <w:rPr>
          <w:rStyle w:val="Funotenzeichen"/>
          <w:spacing w:val="-3"/>
        </w:rPr>
        <w:footnoteReference w:id="17"/>
      </w:r>
      <w:r w:rsidR="008D5D1C">
        <w:rPr>
          <w:spacing w:val="-3"/>
        </w:rPr>
        <w:t xml:space="preserve"> Die Wahrnehmungsperspektive beschreibt hier </w:t>
      </w:r>
      <w:r w:rsidR="005A72C2">
        <w:rPr>
          <w:spacing w:val="-3"/>
        </w:rPr>
        <w:t xml:space="preserve">also </w:t>
      </w:r>
      <w:r w:rsidR="008D5D1C">
        <w:rPr>
          <w:spacing w:val="-3"/>
        </w:rPr>
        <w:t xml:space="preserve">nicht </w:t>
      </w:r>
      <w:r w:rsidR="005A72C2">
        <w:rPr>
          <w:spacing w:val="-3"/>
        </w:rPr>
        <w:t>den Vorgang als so</w:t>
      </w:r>
      <w:r w:rsidR="005A72C2">
        <w:rPr>
          <w:spacing w:val="-3"/>
        </w:rPr>
        <w:t>l</w:t>
      </w:r>
      <w:r w:rsidR="005A72C2">
        <w:rPr>
          <w:spacing w:val="-3"/>
        </w:rPr>
        <w:t xml:space="preserve">chen, </w:t>
      </w:r>
      <w:r w:rsidR="008D5D1C">
        <w:rPr>
          <w:spacing w:val="-3"/>
        </w:rPr>
        <w:t>die Realität, sondern einen seelischen Zustand: das psychische Befinden Henris am Mo</w:t>
      </w:r>
      <w:r w:rsidR="008D5D1C">
        <w:rPr>
          <w:spacing w:val="-3"/>
        </w:rPr>
        <w:t>r</w:t>
      </w:r>
      <w:r w:rsidR="008D5D1C">
        <w:rPr>
          <w:spacing w:val="-3"/>
        </w:rPr>
        <w:t xml:space="preserve">gen nach der Mordnacht. </w:t>
      </w:r>
    </w:p>
    <w:p w:rsidR="008D5D1C" w:rsidRPr="0067519D" w:rsidRDefault="005A72C2" w:rsidP="00DB17F3">
      <w:pPr>
        <w:tabs>
          <w:tab w:val="left" w:pos="-720"/>
        </w:tabs>
        <w:spacing w:after="0"/>
        <w:jc w:val="both"/>
        <w:rPr>
          <w:spacing w:val="-3"/>
        </w:rPr>
      </w:pPr>
      <w:r>
        <w:rPr>
          <w:spacing w:val="-3"/>
        </w:rPr>
        <w:tab/>
      </w:r>
      <w:r w:rsidR="008D5D1C">
        <w:rPr>
          <w:spacing w:val="-3"/>
        </w:rPr>
        <w:t xml:space="preserve">Der Gestus nüchtern-distanzierter Analyse entsteht </w:t>
      </w:r>
      <w:r>
        <w:rPr>
          <w:spacing w:val="-3"/>
        </w:rPr>
        <w:t>jedoch auch</w:t>
      </w:r>
      <w:r w:rsidR="008D5D1C">
        <w:rPr>
          <w:spacing w:val="-3"/>
        </w:rPr>
        <w:t xml:space="preserve"> dadurch, dass Henri sich für einen Moment vom aktuellen Geschehen </w:t>
      </w:r>
      <w:r>
        <w:rPr>
          <w:spacing w:val="-3"/>
        </w:rPr>
        <w:t xml:space="preserve">zu </w:t>
      </w:r>
      <w:r w:rsidR="008D5D1C">
        <w:rPr>
          <w:spacing w:val="-3"/>
        </w:rPr>
        <w:t>lös</w:t>
      </w:r>
      <w:r>
        <w:rPr>
          <w:spacing w:val="-3"/>
        </w:rPr>
        <w:t>en scheint</w:t>
      </w:r>
      <w:r w:rsidR="008D5D1C">
        <w:rPr>
          <w:spacing w:val="-3"/>
        </w:rPr>
        <w:t xml:space="preserve"> und über die Besonderheit des hier zutage tretenden Verhaltens zu reflektieren beginnt.</w:t>
      </w:r>
      <w:r w:rsidR="004F3F07">
        <w:rPr>
          <w:spacing w:val="-3"/>
        </w:rPr>
        <w:t xml:space="preserve"> </w:t>
      </w:r>
      <w:r w:rsidR="008D5D1C">
        <w:rPr>
          <w:spacing w:val="-3"/>
        </w:rPr>
        <w:t xml:space="preserve">Bezeichnenderweise geschieht dies in Form einer Bildanalyse. </w:t>
      </w:r>
      <w:r w:rsidR="007A45DD">
        <w:rPr>
          <w:spacing w:val="-3"/>
        </w:rPr>
        <w:t xml:space="preserve">Staunend wird sich </w:t>
      </w:r>
      <w:r w:rsidR="008D5D1C">
        <w:rPr>
          <w:spacing w:val="-3"/>
        </w:rPr>
        <w:t xml:space="preserve">Henri </w:t>
      </w:r>
      <w:r w:rsidR="007A45DD">
        <w:rPr>
          <w:spacing w:val="-3"/>
        </w:rPr>
        <w:t>der Situation und des in ihr liegenden Widersinns bewusst</w:t>
      </w:r>
      <w:r w:rsidR="008D5D1C">
        <w:rPr>
          <w:spacing w:val="-3"/>
        </w:rPr>
        <w:t>:</w:t>
      </w:r>
    </w:p>
    <w:p w:rsidR="00D328F9" w:rsidRDefault="004C1564" w:rsidP="00DB17F3">
      <w:pPr>
        <w:tabs>
          <w:tab w:val="left" w:pos="-720"/>
        </w:tabs>
        <w:spacing w:after="0"/>
        <w:ind w:left="1134"/>
        <w:jc w:val="both"/>
        <w:rPr>
          <w:spacing w:val="-3"/>
        </w:rPr>
      </w:pPr>
      <w:r>
        <w:rPr>
          <w:spacing w:val="-3"/>
        </w:rPr>
        <w:t>„</w:t>
      </w:r>
      <w:r w:rsidR="007A45DD">
        <w:rPr>
          <w:spacing w:val="-3"/>
        </w:rPr>
        <w:t>Wäre nicht all das Blut gewesen und noch einiges andere, besonders der höllenm</w:t>
      </w:r>
      <w:r w:rsidR="007A45DD">
        <w:rPr>
          <w:spacing w:val="-3"/>
        </w:rPr>
        <w:t>ä</w:t>
      </w:r>
      <w:r w:rsidR="007A45DD">
        <w:rPr>
          <w:spacing w:val="-3"/>
        </w:rPr>
        <w:t>ßige Lärm: aus einer gewissen Entfernung hätte man meinen können, diese guten Leute wären auf einer Wiese beschäftigt mit Blumenpflücken. Jedenfalls blaute über ihnen der Himmel in sonnigster Heiterkeit.</w:t>
      </w:r>
      <w:r>
        <w:rPr>
          <w:spacing w:val="-3"/>
        </w:rPr>
        <w:t>“</w:t>
      </w:r>
      <w:r w:rsidR="00ED20E1">
        <w:rPr>
          <w:rStyle w:val="Funotenzeichen"/>
          <w:spacing w:val="-3"/>
        </w:rPr>
        <w:footnoteReference w:id="18"/>
      </w:r>
      <w:r w:rsidR="007A45DD">
        <w:rPr>
          <w:spacing w:val="-3"/>
        </w:rPr>
        <w:t xml:space="preserve"> </w:t>
      </w:r>
    </w:p>
    <w:p w:rsidR="007A45DD" w:rsidRDefault="00ED20E1" w:rsidP="00DB17F3">
      <w:pPr>
        <w:tabs>
          <w:tab w:val="left" w:pos="-720"/>
        </w:tabs>
        <w:spacing w:after="0"/>
        <w:jc w:val="both"/>
        <w:rPr>
          <w:spacing w:val="-3"/>
        </w:rPr>
      </w:pPr>
      <w:r>
        <w:rPr>
          <w:spacing w:val="-3"/>
        </w:rPr>
        <w:t>An dieser Stelle</w:t>
      </w:r>
      <w:r w:rsidR="007A45DD">
        <w:rPr>
          <w:spacing w:val="-3"/>
        </w:rPr>
        <w:t xml:space="preserve"> kehrt Heinrich Mann zu dem Bild zurück, das der Darstellung zugrundeliegt. </w:t>
      </w:r>
      <w:r w:rsidR="00CE0B90">
        <w:rPr>
          <w:spacing w:val="-3"/>
        </w:rPr>
        <w:t xml:space="preserve">Ihm kommt dabei die kompositorische Technik zu Hilfe, der sich Dubois bedient, denn Dubois löst das Geschehen in isoliert dargestellte Personengruppen und somit in Einzelvorgänge auf. </w:t>
      </w:r>
      <w:r w:rsidR="007A45DD">
        <w:rPr>
          <w:spacing w:val="-3"/>
        </w:rPr>
        <w:t xml:space="preserve">Wie ein Kunsthistoriker </w:t>
      </w:r>
      <w:r w:rsidR="00FC37E2">
        <w:rPr>
          <w:spacing w:val="-3"/>
        </w:rPr>
        <w:t>konzentriert sich</w:t>
      </w:r>
      <w:r w:rsidR="007A1F5E">
        <w:rPr>
          <w:spacing w:val="-3"/>
        </w:rPr>
        <w:t xml:space="preserve"> </w:t>
      </w:r>
      <w:r w:rsidR="005A72C2">
        <w:rPr>
          <w:spacing w:val="-3"/>
        </w:rPr>
        <w:t>Heinrich</w:t>
      </w:r>
      <w:r w:rsidR="00CE0B90">
        <w:rPr>
          <w:spacing w:val="-3"/>
        </w:rPr>
        <w:t xml:space="preserve"> Mann</w:t>
      </w:r>
      <w:r w:rsidR="007A45DD">
        <w:rPr>
          <w:spacing w:val="-3"/>
        </w:rPr>
        <w:t xml:space="preserve"> </w:t>
      </w:r>
      <w:r w:rsidR="00FC37E2">
        <w:rPr>
          <w:spacing w:val="-3"/>
        </w:rPr>
        <w:t>vornehmlich auf</w:t>
      </w:r>
      <w:r w:rsidR="007A45DD">
        <w:rPr>
          <w:spacing w:val="-3"/>
        </w:rPr>
        <w:t xml:space="preserve"> die</w:t>
      </w:r>
      <w:r w:rsidR="005A72C2">
        <w:rPr>
          <w:spacing w:val="-3"/>
        </w:rPr>
        <w:t>se k</w:t>
      </w:r>
      <w:r w:rsidR="007A45DD">
        <w:rPr>
          <w:spacing w:val="-3"/>
        </w:rPr>
        <w:t>omposit</w:t>
      </w:r>
      <w:r w:rsidR="005A72C2">
        <w:rPr>
          <w:spacing w:val="-3"/>
        </w:rPr>
        <w:t xml:space="preserve">orische </w:t>
      </w:r>
      <w:r w:rsidR="005A72C2">
        <w:rPr>
          <w:spacing w:val="-3"/>
        </w:rPr>
        <w:lastRenderedPageBreak/>
        <w:t>Besonderheit</w:t>
      </w:r>
      <w:r w:rsidR="007A45DD">
        <w:rPr>
          <w:spacing w:val="-3"/>
        </w:rPr>
        <w:t xml:space="preserve">. </w:t>
      </w:r>
      <w:r w:rsidR="005A72C2">
        <w:rPr>
          <w:spacing w:val="-3"/>
        </w:rPr>
        <w:t>Durch den Nachvollzug dieser Darstellungstechnik</w:t>
      </w:r>
      <w:r w:rsidR="007A45DD">
        <w:rPr>
          <w:spacing w:val="-3"/>
        </w:rPr>
        <w:t xml:space="preserve"> wird </w:t>
      </w:r>
      <w:r w:rsidR="005A72C2">
        <w:rPr>
          <w:spacing w:val="-3"/>
        </w:rPr>
        <w:t xml:space="preserve">sich </w:t>
      </w:r>
      <w:r w:rsidR="007A45DD">
        <w:rPr>
          <w:spacing w:val="-3"/>
        </w:rPr>
        <w:t xml:space="preserve">Henri </w:t>
      </w:r>
      <w:r w:rsidR="00FC37E2">
        <w:rPr>
          <w:spacing w:val="-3"/>
        </w:rPr>
        <w:t>– und damit auch der Rezipient des Romans – d</w:t>
      </w:r>
      <w:r w:rsidR="007A45DD">
        <w:rPr>
          <w:spacing w:val="-3"/>
        </w:rPr>
        <w:t>er ers</w:t>
      </w:r>
      <w:r w:rsidR="005A72C2">
        <w:rPr>
          <w:spacing w:val="-3"/>
        </w:rPr>
        <w:t>chreckend</w:t>
      </w:r>
      <w:r w:rsidR="007A45DD">
        <w:rPr>
          <w:spacing w:val="-3"/>
        </w:rPr>
        <w:t xml:space="preserve">en Parallele zwischen dem </w:t>
      </w:r>
      <w:r w:rsidR="00FC37E2">
        <w:rPr>
          <w:spacing w:val="-3"/>
        </w:rPr>
        <w:t xml:space="preserve">Ablauf des </w:t>
      </w:r>
      <w:r w:rsidR="007A45DD">
        <w:rPr>
          <w:spacing w:val="-3"/>
        </w:rPr>
        <w:t>Mor</w:t>
      </w:r>
      <w:r w:rsidR="007A45DD">
        <w:rPr>
          <w:spacing w:val="-3"/>
        </w:rPr>
        <w:t>d</w:t>
      </w:r>
      <w:r w:rsidR="007A45DD">
        <w:rPr>
          <w:spacing w:val="-3"/>
        </w:rPr>
        <w:t>treiben</w:t>
      </w:r>
      <w:r w:rsidR="00FC37E2">
        <w:rPr>
          <w:spacing w:val="-3"/>
        </w:rPr>
        <w:t>s</w:t>
      </w:r>
      <w:r w:rsidR="007A45DD">
        <w:rPr>
          <w:spacing w:val="-3"/>
        </w:rPr>
        <w:t xml:space="preserve"> und der beschaulichen Emsigkeit blumenpflückender Menschen </w:t>
      </w:r>
      <w:r w:rsidR="005A72C2">
        <w:rPr>
          <w:spacing w:val="-3"/>
        </w:rPr>
        <w:t>bewusst</w:t>
      </w:r>
      <w:r w:rsidR="007A45DD">
        <w:rPr>
          <w:spacing w:val="-3"/>
        </w:rPr>
        <w:t xml:space="preserve">. </w:t>
      </w:r>
      <w:r w:rsidR="00E25D5C">
        <w:rPr>
          <w:spacing w:val="-3"/>
        </w:rPr>
        <w:t>Das masse</w:t>
      </w:r>
      <w:r w:rsidR="00E25D5C">
        <w:rPr>
          <w:spacing w:val="-3"/>
        </w:rPr>
        <w:t>n</w:t>
      </w:r>
      <w:r w:rsidR="00E25D5C">
        <w:rPr>
          <w:spacing w:val="-3"/>
        </w:rPr>
        <w:t>hafte Morden ist nichts anderes als eine geregelte, gut organisierte „Arbeit“. Zugleich</w:t>
      </w:r>
      <w:r w:rsidR="00FC37E2">
        <w:rPr>
          <w:spacing w:val="-3"/>
        </w:rPr>
        <w:t xml:space="preserve"> </w:t>
      </w:r>
      <w:r w:rsidR="007A45DD">
        <w:rPr>
          <w:spacing w:val="-3"/>
        </w:rPr>
        <w:t xml:space="preserve">wird </w:t>
      </w:r>
      <w:r w:rsidR="00E25D5C">
        <w:rPr>
          <w:spacing w:val="-3"/>
        </w:rPr>
        <w:t xml:space="preserve">damit </w:t>
      </w:r>
      <w:r w:rsidR="007A45DD">
        <w:rPr>
          <w:spacing w:val="-3"/>
        </w:rPr>
        <w:t xml:space="preserve">ein </w:t>
      </w:r>
      <w:r w:rsidR="00E25D5C">
        <w:rPr>
          <w:spacing w:val="-3"/>
        </w:rPr>
        <w:t xml:space="preserve">weiterer </w:t>
      </w:r>
      <w:r w:rsidR="007A45DD">
        <w:rPr>
          <w:spacing w:val="-3"/>
        </w:rPr>
        <w:t>bedeutsamer Zug des Geschehens hervorgehoben: die naive Unbefangenheit, mit der Menschen hier</w:t>
      </w:r>
      <w:r w:rsidR="00FC37E2">
        <w:rPr>
          <w:spacing w:val="-3"/>
        </w:rPr>
        <w:t xml:space="preserve"> – und sich sicherlich auch andernorts – e</w:t>
      </w:r>
      <w:r w:rsidR="007A45DD">
        <w:rPr>
          <w:spacing w:val="-3"/>
        </w:rPr>
        <w:t xml:space="preserve">in verbrecherisch es Tun exekutieren. Henri </w:t>
      </w:r>
      <w:r w:rsidR="00FC37E2">
        <w:rPr>
          <w:spacing w:val="-3"/>
        </w:rPr>
        <w:t xml:space="preserve">formuliert diese Erkenntnis </w:t>
      </w:r>
      <w:r w:rsidR="00E25D5C">
        <w:rPr>
          <w:spacing w:val="-3"/>
        </w:rPr>
        <w:t>explizit, und er ist damit insbesondere an dieser Stelle Sprac</w:t>
      </w:r>
      <w:r w:rsidR="00E25D5C">
        <w:rPr>
          <w:spacing w:val="-3"/>
        </w:rPr>
        <w:t>h</w:t>
      </w:r>
      <w:r w:rsidR="00E25D5C">
        <w:rPr>
          <w:spacing w:val="-3"/>
        </w:rPr>
        <w:t>rohr des Autors</w:t>
      </w:r>
      <w:r w:rsidR="00FC37E2">
        <w:rPr>
          <w:spacing w:val="-3"/>
        </w:rPr>
        <w:t xml:space="preserve">. </w:t>
      </w:r>
      <w:r w:rsidR="007A45DD">
        <w:rPr>
          <w:spacing w:val="-3"/>
        </w:rPr>
        <w:t xml:space="preserve">Er sagt: Die Mörder </w:t>
      </w:r>
      <w:r w:rsidR="004C1564">
        <w:rPr>
          <w:spacing w:val="-3"/>
        </w:rPr>
        <w:t>„</w:t>
      </w:r>
      <w:r w:rsidR="007A45DD">
        <w:rPr>
          <w:spacing w:val="-3"/>
        </w:rPr>
        <w:t>töten nicht für sich, sondern […] um der Sache willen</w:t>
      </w:r>
      <w:r w:rsidR="004C1564">
        <w:rPr>
          <w:spacing w:val="-3"/>
        </w:rPr>
        <w:t>“</w:t>
      </w:r>
      <w:r w:rsidR="007A45DD">
        <w:rPr>
          <w:spacing w:val="-3"/>
        </w:rPr>
        <w:t xml:space="preserve"> – nun folgt ein gewichtiger Nachsatz: – </w:t>
      </w:r>
      <w:r w:rsidR="004C1564">
        <w:rPr>
          <w:spacing w:val="-3"/>
        </w:rPr>
        <w:t>„</w:t>
      </w:r>
      <w:r w:rsidR="007A45DD">
        <w:rPr>
          <w:spacing w:val="-3"/>
        </w:rPr>
        <w:t>da</w:t>
      </w:r>
      <w:r w:rsidR="000A2E86">
        <w:rPr>
          <w:spacing w:val="-3"/>
        </w:rPr>
        <w:t>s macht ihnen das gute Gewissen</w:t>
      </w:r>
      <w:r w:rsidR="004C1564">
        <w:rPr>
          <w:spacing w:val="-3"/>
        </w:rPr>
        <w:t>“</w:t>
      </w:r>
      <w:r w:rsidR="000A2E86">
        <w:rPr>
          <w:spacing w:val="-3"/>
        </w:rPr>
        <w:t>.</w:t>
      </w:r>
      <w:r>
        <w:rPr>
          <w:rStyle w:val="Funotenzeichen"/>
          <w:spacing w:val="-3"/>
        </w:rPr>
        <w:footnoteReference w:id="19"/>
      </w:r>
    </w:p>
    <w:p w:rsidR="000A2E86" w:rsidRDefault="000A2E86" w:rsidP="00DB17F3">
      <w:pPr>
        <w:tabs>
          <w:tab w:val="left" w:pos="-720"/>
        </w:tabs>
        <w:spacing w:after="0"/>
        <w:jc w:val="both"/>
        <w:rPr>
          <w:spacing w:val="-3"/>
        </w:rPr>
      </w:pPr>
      <w:r>
        <w:rPr>
          <w:spacing w:val="-3"/>
        </w:rPr>
        <w:tab/>
        <w:t xml:space="preserve">Es ist keine Frage, dass Heinrich Mann die Szene kompositorisch auf diese Erkenntnis zulaufen lässt. Er lässt </w:t>
      </w:r>
      <w:r w:rsidR="003D426C">
        <w:rPr>
          <w:spacing w:val="-3"/>
        </w:rPr>
        <w:t xml:space="preserve">dazu </w:t>
      </w:r>
      <w:r>
        <w:rPr>
          <w:spacing w:val="-3"/>
        </w:rPr>
        <w:t xml:space="preserve">Henri </w:t>
      </w:r>
      <w:r w:rsidR="00074BD5">
        <w:rPr>
          <w:spacing w:val="-3"/>
        </w:rPr>
        <w:t xml:space="preserve">mit der einschränkenden Bemerkung: </w:t>
      </w:r>
      <w:r w:rsidR="004C1564">
        <w:rPr>
          <w:spacing w:val="-3"/>
        </w:rPr>
        <w:t>„</w:t>
      </w:r>
      <w:r w:rsidR="00074BD5">
        <w:rPr>
          <w:spacing w:val="-3"/>
        </w:rPr>
        <w:t>Wäre nicht all das Blut gewesen und […] der höllenmäßige Lärm</w:t>
      </w:r>
      <w:r w:rsidR="00FC37E2">
        <w:rPr>
          <w:spacing w:val="-3"/>
        </w:rPr>
        <w:t>“</w:t>
      </w:r>
      <w:r w:rsidR="00074BD5">
        <w:rPr>
          <w:spacing w:val="-3"/>
        </w:rPr>
        <w:t xml:space="preserve">, </w:t>
      </w:r>
      <w:r>
        <w:rPr>
          <w:spacing w:val="-3"/>
        </w:rPr>
        <w:t>aus dem unmittelbaren Kontext de</w:t>
      </w:r>
      <w:r w:rsidR="00FC37E2">
        <w:rPr>
          <w:spacing w:val="-3"/>
        </w:rPr>
        <w:t>s</w:t>
      </w:r>
      <w:r>
        <w:rPr>
          <w:spacing w:val="-3"/>
        </w:rPr>
        <w:t xml:space="preserve"> Geschehens </w:t>
      </w:r>
      <w:r w:rsidR="00FC37E2">
        <w:rPr>
          <w:spacing w:val="-3"/>
        </w:rPr>
        <w:t xml:space="preserve">und seiner Wahrnehmung </w:t>
      </w:r>
      <w:r>
        <w:rPr>
          <w:spacing w:val="-3"/>
        </w:rPr>
        <w:t>heraustreten</w:t>
      </w:r>
      <w:r w:rsidR="00074BD5">
        <w:rPr>
          <w:spacing w:val="-3"/>
        </w:rPr>
        <w:t xml:space="preserve">. </w:t>
      </w:r>
      <w:r w:rsidR="003D426C">
        <w:rPr>
          <w:spacing w:val="-3"/>
        </w:rPr>
        <w:t>Erst damit</w:t>
      </w:r>
      <w:r w:rsidR="00074BD5">
        <w:rPr>
          <w:spacing w:val="-3"/>
        </w:rPr>
        <w:t xml:space="preserve"> wird </w:t>
      </w:r>
      <w:r w:rsidR="003D426C">
        <w:rPr>
          <w:spacing w:val="-3"/>
        </w:rPr>
        <w:t>Henri</w:t>
      </w:r>
      <w:r>
        <w:rPr>
          <w:spacing w:val="-3"/>
        </w:rPr>
        <w:t xml:space="preserve"> die strukturelle Parallele des soeben </w:t>
      </w:r>
      <w:r w:rsidR="003D426C">
        <w:rPr>
          <w:spacing w:val="-3"/>
        </w:rPr>
        <w:t>W</w:t>
      </w:r>
      <w:r>
        <w:rPr>
          <w:spacing w:val="-3"/>
        </w:rPr>
        <w:t xml:space="preserve">ahrgenommenen </w:t>
      </w:r>
      <w:r w:rsidR="00FC37E2">
        <w:rPr>
          <w:spacing w:val="-3"/>
        </w:rPr>
        <w:t>mit de</w:t>
      </w:r>
      <w:r w:rsidR="003D426C">
        <w:rPr>
          <w:spacing w:val="-3"/>
        </w:rPr>
        <w:t xml:space="preserve">m Bild </w:t>
      </w:r>
      <w:r w:rsidR="003D426C" w:rsidRPr="00C94BD8">
        <w:rPr>
          <w:i/>
          <w:spacing w:val="-3"/>
        </w:rPr>
        <w:t xml:space="preserve">in friedlicher Umgebung </w:t>
      </w:r>
      <w:r w:rsidRPr="00C94BD8">
        <w:rPr>
          <w:i/>
          <w:spacing w:val="-3"/>
        </w:rPr>
        <w:t>emsig blumenpflückender Menschen</w:t>
      </w:r>
      <w:r>
        <w:rPr>
          <w:spacing w:val="-3"/>
        </w:rPr>
        <w:t xml:space="preserve"> </w:t>
      </w:r>
      <w:r w:rsidR="00FC37E2">
        <w:rPr>
          <w:spacing w:val="-3"/>
        </w:rPr>
        <w:t>bewusst</w:t>
      </w:r>
      <w:r>
        <w:rPr>
          <w:spacing w:val="-3"/>
        </w:rPr>
        <w:t xml:space="preserve">. Es </w:t>
      </w:r>
      <w:r w:rsidR="003D426C">
        <w:rPr>
          <w:spacing w:val="-3"/>
        </w:rPr>
        <w:t xml:space="preserve">sind </w:t>
      </w:r>
      <w:r w:rsidR="00074BD5">
        <w:rPr>
          <w:spacing w:val="-3"/>
        </w:rPr>
        <w:t>also</w:t>
      </w:r>
      <w:r>
        <w:rPr>
          <w:spacing w:val="-3"/>
        </w:rPr>
        <w:t xml:space="preserve"> diese </w:t>
      </w:r>
      <w:r>
        <w:rPr>
          <w:i/>
          <w:spacing w:val="-3"/>
        </w:rPr>
        <w:t>bildliche</w:t>
      </w:r>
      <w:r w:rsidR="003D426C">
        <w:rPr>
          <w:i/>
          <w:spacing w:val="-3"/>
        </w:rPr>
        <w:t>n</w:t>
      </w:r>
      <w:r>
        <w:rPr>
          <w:spacing w:val="-3"/>
        </w:rPr>
        <w:t xml:space="preserve"> Kontrast</w:t>
      </w:r>
      <w:r w:rsidR="003D426C">
        <w:rPr>
          <w:spacing w:val="-3"/>
        </w:rPr>
        <w:t>e</w:t>
      </w:r>
      <w:r>
        <w:rPr>
          <w:spacing w:val="-3"/>
        </w:rPr>
        <w:t>, d</w:t>
      </w:r>
      <w:r w:rsidR="003D426C">
        <w:rPr>
          <w:spacing w:val="-3"/>
        </w:rPr>
        <w:t>ie</w:t>
      </w:r>
      <w:r>
        <w:rPr>
          <w:spacing w:val="-3"/>
        </w:rPr>
        <w:t xml:space="preserve"> das nachfolgende politisch-psychologische </w:t>
      </w:r>
      <w:proofErr w:type="spellStart"/>
      <w:r>
        <w:rPr>
          <w:spacing w:val="-3"/>
        </w:rPr>
        <w:t>Raisonnement</w:t>
      </w:r>
      <w:proofErr w:type="spellEnd"/>
      <w:r>
        <w:rPr>
          <w:spacing w:val="-3"/>
        </w:rPr>
        <w:t xml:space="preserve"> </w:t>
      </w:r>
      <w:r w:rsidR="00074BD5">
        <w:rPr>
          <w:spacing w:val="-3"/>
        </w:rPr>
        <w:t xml:space="preserve">– </w:t>
      </w:r>
      <w:r w:rsidR="00074BD5" w:rsidRPr="003D426C">
        <w:rPr>
          <w:i/>
          <w:spacing w:val="-3"/>
        </w:rPr>
        <w:t xml:space="preserve">sie </w:t>
      </w:r>
      <w:r w:rsidR="004C1564" w:rsidRPr="003D426C">
        <w:rPr>
          <w:i/>
          <w:spacing w:val="-3"/>
        </w:rPr>
        <w:t>„</w:t>
      </w:r>
      <w:r w:rsidR="00074BD5" w:rsidRPr="003D426C">
        <w:rPr>
          <w:i/>
          <w:spacing w:val="-3"/>
        </w:rPr>
        <w:t>töten nicht für sich, sondern […] um der Sache willen</w:t>
      </w:r>
      <w:r w:rsidR="004C1564" w:rsidRPr="003D426C">
        <w:rPr>
          <w:i/>
          <w:spacing w:val="-3"/>
        </w:rPr>
        <w:t>“</w:t>
      </w:r>
      <w:r w:rsidR="00074BD5">
        <w:rPr>
          <w:spacing w:val="-3"/>
        </w:rPr>
        <w:t xml:space="preserve"> – a</w:t>
      </w:r>
      <w:r>
        <w:rPr>
          <w:spacing w:val="-3"/>
        </w:rPr>
        <w:t>uslös</w:t>
      </w:r>
      <w:r w:rsidR="003D426C">
        <w:rPr>
          <w:spacing w:val="-3"/>
        </w:rPr>
        <w:t>en</w:t>
      </w:r>
      <w:r>
        <w:rPr>
          <w:spacing w:val="-3"/>
        </w:rPr>
        <w:t>. – E</w:t>
      </w:r>
      <w:r>
        <w:rPr>
          <w:spacing w:val="-3"/>
        </w:rPr>
        <w:t>i</w:t>
      </w:r>
      <w:r>
        <w:rPr>
          <w:spacing w:val="-3"/>
        </w:rPr>
        <w:t xml:space="preserve">nem Autor, der </w:t>
      </w:r>
      <w:r w:rsidR="003D426C">
        <w:rPr>
          <w:spacing w:val="-3"/>
        </w:rPr>
        <w:t>derart</w:t>
      </w:r>
      <w:r>
        <w:rPr>
          <w:spacing w:val="-3"/>
        </w:rPr>
        <w:t xml:space="preserve"> subtil psychologisch-politische Deutungen mit Bildern zu verknüpfen ve</w:t>
      </w:r>
      <w:r>
        <w:rPr>
          <w:spacing w:val="-3"/>
        </w:rPr>
        <w:t>r</w:t>
      </w:r>
      <w:r>
        <w:rPr>
          <w:spacing w:val="-3"/>
        </w:rPr>
        <w:t>steht, ist zu unterstellen, dass er auch in anderen, für den Leser zunächst nicht so</w:t>
      </w:r>
      <w:r w:rsidR="003D426C">
        <w:rPr>
          <w:spacing w:val="-3"/>
        </w:rPr>
        <w:t>fort</w:t>
      </w:r>
      <w:r>
        <w:rPr>
          <w:spacing w:val="-3"/>
        </w:rPr>
        <w:t xml:space="preserve"> überscha</w:t>
      </w:r>
      <w:r>
        <w:rPr>
          <w:spacing w:val="-3"/>
        </w:rPr>
        <w:t>u</w:t>
      </w:r>
      <w:r>
        <w:rPr>
          <w:spacing w:val="-3"/>
        </w:rPr>
        <w:t xml:space="preserve">baren Zusammenhängen Bilder im Sinne psychologischer oder politischer Analysen gebraucht. </w:t>
      </w:r>
      <w:r w:rsidR="003D426C">
        <w:rPr>
          <w:spacing w:val="-3"/>
        </w:rPr>
        <w:t>In</w:t>
      </w:r>
      <w:r>
        <w:rPr>
          <w:spacing w:val="-3"/>
        </w:rPr>
        <w:t xml:space="preserve"> Heinrich Mann</w:t>
      </w:r>
      <w:r w:rsidR="003D426C">
        <w:rPr>
          <w:spacing w:val="-3"/>
        </w:rPr>
        <w:t>s Werk gibt es für die entsprechende Technik eine Vielz</w:t>
      </w:r>
      <w:r>
        <w:rPr>
          <w:spacing w:val="-3"/>
        </w:rPr>
        <w:t xml:space="preserve">ahl </w:t>
      </w:r>
      <w:r w:rsidR="003D426C">
        <w:rPr>
          <w:spacing w:val="-3"/>
        </w:rPr>
        <w:t xml:space="preserve">von </w:t>
      </w:r>
      <w:r>
        <w:rPr>
          <w:spacing w:val="-3"/>
        </w:rPr>
        <w:t>Beispielen.</w:t>
      </w:r>
      <w:r>
        <w:rPr>
          <w:rStyle w:val="Funotenzeichen"/>
          <w:spacing w:val="-3"/>
        </w:rPr>
        <w:footnoteReference w:id="20"/>
      </w:r>
      <w:r>
        <w:rPr>
          <w:spacing w:val="-3"/>
        </w:rPr>
        <w:t xml:space="preserve"> Die</w:t>
      </w:r>
      <w:r w:rsidR="003D426C">
        <w:rPr>
          <w:spacing w:val="-3"/>
        </w:rPr>
        <w:t xml:space="preserve"> analytische</w:t>
      </w:r>
      <w:r>
        <w:rPr>
          <w:spacing w:val="-3"/>
        </w:rPr>
        <w:t xml:space="preserve"> Erkenntnisebene wird offensichtlich </w:t>
      </w:r>
      <w:r>
        <w:rPr>
          <w:i/>
          <w:spacing w:val="-3"/>
        </w:rPr>
        <w:t>vorausgesetzt</w:t>
      </w:r>
      <w:r w:rsidR="00AF788E" w:rsidRPr="00AF788E">
        <w:rPr>
          <w:i/>
          <w:spacing w:val="-3"/>
        </w:rPr>
        <w:t xml:space="preserve">: </w:t>
      </w:r>
      <w:r w:rsidR="00AF788E">
        <w:rPr>
          <w:spacing w:val="-3"/>
        </w:rPr>
        <w:t>die Integration in ein ästhet</w:t>
      </w:r>
      <w:r w:rsidR="00AF788E">
        <w:rPr>
          <w:spacing w:val="-3"/>
        </w:rPr>
        <w:t>i</w:t>
      </w:r>
      <w:r w:rsidR="00AF788E">
        <w:rPr>
          <w:spacing w:val="-3"/>
        </w:rPr>
        <w:t xml:space="preserve">sches Bezugssystem ist </w:t>
      </w:r>
      <w:r w:rsidR="00604B87">
        <w:rPr>
          <w:spacing w:val="-3"/>
        </w:rPr>
        <w:t xml:space="preserve">für den Autor Heinrich Mann </w:t>
      </w:r>
      <w:r w:rsidR="00AF788E">
        <w:rPr>
          <w:spacing w:val="-3"/>
        </w:rPr>
        <w:t>erst ein nachgeordneter Vorgang.</w:t>
      </w:r>
    </w:p>
    <w:p w:rsidR="00604B87" w:rsidRPr="000A2E86" w:rsidRDefault="00604B87" w:rsidP="00DB17F3">
      <w:pPr>
        <w:tabs>
          <w:tab w:val="left" w:pos="-720"/>
        </w:tabs>
        <w:spacing w:after="0"/>
        <w:jc w:val="both"/>
        <w:rPr>
          <w:spacing w:val="-3"/>
        </w:rPr>
      </w:pPr>
    </w:p>
    <w:p w:rsidR="0067519D" w:rsidRDefault="003027CD" w:rsidP="00DB17F3">
      <w:pPr>
        <w:tabs>
          <w:tab w:val="left" w:pos="-720"/>
        </w:tabs>
        <w:spacing w:after="0"/>
        <w:jc w:val="both"/>
        <w:rPr>
          <w:spacing w:val="-3"/>
        </w:rPr>
      </w:pPr>
      <w:r>
        <w:rPr>
          <w:spacing w:val="-3"/>
        </w:rPr>
        <w:tab/>
        <w:t xml:space="preserve">Neben der subtilen, reflektorischen Analyse steht unmittelbar benachbart </w:t>
      </w:r>
      <w:r w:rsidR="008D2154">
        <w:rPr>
          <w:spacing w:val="-3"/>
        </w:rPr>
        <w:t xml:space="preserve">jedoch auch </w:t>
      </w:r>
      <w:r>
        <w:rPr>
          <w:spacing w:val="-3"/>
        </w:rPr>
        <w:t>eine grob zupackende, fast, so scheint es, karikierende Analyse:</w:t>
      </w:r>
    </w:p>
    <w:p w:rsidR="003027CD" w:rsidRDefault="004C1564" w:rsidP="00DB17F3">
      <w:pPr>
        <w:tabs>
          <w:tab w:val="left" w:pos="-720"/>
        </w:tabs>
        <w:spacing w:after="0"/>
        <w:ind w:left="1134"/>
        <w:jc w:val="both"/>
        <w:rPr>
          <w:spacing w:val="-3"/>
        </w:rPr>
      </w:pPr>
      <w:r>
        <w:rPr>
          <w:spacing w:val="-3"/>
        </w:rPr>
        <w:t>„</w:t>
      </w:r>
      <w:r w:rsidR="003027CD">
        <w:rPr>
          <w:spacing w:val="-3"/>
        </w:rPr>
        <w:t>Vereinzelt trat auch der helle Wahnsinn öffentlich auf. Er stolzie</w:t>
      </w:r>
      <w:r w:rsidR="00FC5BF1">
        <w:rPr>
          <w:spacing w:val="-3"/>
        </w:rPr>
        <w:t>r</w:t>
      </w:r>
      <w:r w:rsidR="003027CD">
        <w:rPr>
          <w:spacing w:val="-3"/>
        </w:rPr>
        <w:t>te über den Platz, ohne sich weiter nützlich zu machen bei dem allgemeinen Geschäft: nur seine Sti</w:t>
      </w:r>
      <w:r w:rsidR="003027CD">
        <w:rPr>
          <w:spacing w:val="-3"/>
        </w:rPr>
        <w:t>m</w:t>
      </w:r>
      <w:r w:rsidR="003027CD">
        <w:rPr>
          <w:spacing w:val="-3"/>
        </w:rPr>
        <w:t>me kreischt unverkennbar. ‚</w:t>
      </w:r>
      <w:proofErr w:type="spellStart"/>
      <w:r w:rsidR="003027CD">
        <w:rPr>
          <w:spacing w:val="-3"/>
        </w:rPr>
        <w:t>Laßt</w:t>
      </w:r>
      <w:proofErr w:type="spellEnd"/>
      <w:r w:rsidR="003027CD">
        <w:rPr>
          <w:spacing w:val="-3"/>
        </w:rPr>
        <w:t xml:space="preserve"> zur Ader! Nur immer zur Ader lassen! Die Ärzte sagen, </w:t>
      </w:r>
      <w:proofErr w:type="spellStart"/>
      <w:r w:rsidR="003027CD">
        <w:rPr>
          <w:spacing w:val="-3"/>
        </w:rPr>
        <w:t>daß</w:t>
      </w:r>
      <w:proofErr w:type="spellEnd"/>
      <w:r w:rsidR="003027CD">
        <w:rPr>
          <w:spacing w:val="-3"/>
        </w:rPr>
        <w:t xml:space="preserve"> im August ein </w:t>
      </w:r>
      <w:proofErr w:type="spellStart"/>
      <w:r w:rsidR="003027CD">
        <w:rPr>
          <w:spacing w:val="-3"/>
        </w:rPr>
        <w:t>Aderlaß</w:t>
      </w:r>
      <w:proofErr w:type="spellEnd"/>
      <w:r w:rsidR="003027CD">
        <w:rPr>
          <w:spacing w:val="-3"/>
        </w:rPr>
        <w:t xml:space="preserve"> so gut ist wie im Mai</w:t>
      </w:r>
      <w:proofErr w:type="gramStart"/>
      <w:r w:rsidR="003027CD">
        <w:rPr>
          <w:spacing w:val="-3"/>
        </w:rPr>
        <w:t>.‘</w:t>
      </w:r>
      <w:proofErr w:type="gramEnd"/>
      <w:r w:rsidR="00F73BE4">
        <w:rPr>
          <w:spacing w:val="-3"/>
        </w:rPr>
        <w:t>“</w:t>
      </w:r>
      <w:r w:rsidR="003027CD">
        <w:rPr>
          <w:rStyle w:val="Funotenzeichen"/>
          <w:spacing w:val="-3"/>
        </w:rPr>
        <w:footnoteReference w:id="21"/>
      </w:r>
    </w:p>
    <w:p w:rsidR="0067519D" w:rsidRDefault="003027CD" w:rsidP="00DB17F3">
      <w:pPr>
        <w:tabs>
          <w:tab w:val="left" w:pos="-720"/>
        </w:tabs>
        <w:spacing w:after="0"/>
        <w:jc w:val="both"/>
        <w:rPr>
          <w:spacing w:val="-3"/>
        </w:rPr>
      </w:pPr>
      <w:r>
        <w:rPr>
          <w:spacing w:val="-3"/>
        </w:rPr>
        <w:t xml:space="preserve">Hier wird von Herrn de </w:t>
      </w:r>
      <w:proofErr w:type="spellStart"/>
      <w:r>
        <w:rPr>
          <w:spacing w:val="-3"/>
        </w:rPr>
        <w:t>Tavannes</w:t>
      </w:r>
      <w:proofErr w:type="spellEnd"/>
      <w:r>
        <w:rPr>
          <w:spacing w:val="-3"/>
        </w:rPr>
        <w:t xml:space="preserve"> gesprochen, einem besonders eifrigen Mörder. Die Ausspr</w:t>
      </w:r>
      <w:r>
        <w:rPr>
          <w:spacing w:val="-3"/>
        </w:rPr>
        <w:t>ü</w:t>
      </w:r>
      <w:r>
        <w:rPr>
          <w:spacing w:val="-3"/>
        </w:rPr>
        <w:t>che, die ihm zugewiesen werden, sind von Michelet überliefert.</w:t>
      </w:r>
      <w:r>
        <w:rPr>
          <w:rStyle w:val="Funotenzeichen"/>
          <w:spacing w:val="-3"/>
        </w:rPr>
        <w:footnoteReference w:id="22"/>
      </w:r>
      <w:r>
        <w:rPr>
          <w:spacing w:val="-3"/>
        </w:rPr>
        <w:t xml:space="preserve"> </w:t>
      </w:r>
      <w:proofErr w:type="spellStart"/>
      <w:r>
        <w:rPr>
          <w:spacing w:val="-3"/>
        </w:rPr>
        <w:t>Tavannes</w:t>
      </w:r>
      <w:proofErr w:type="spellEnd"/>
      <w:r>
        <w:rPr>
          <w:spacing w:val="-3"/>
        </w:rPr>
        <w:t xml:space="preserve"> wird als kreischender Hahn beschrieben; in einer anderen Szene verwandelt sich eine Gestalt unverhofft in ein Schwein.</w:t>
      </w:r>
      <w:r>
        <w:rPr>
          <w:rStyle w:val="Funotenzeichen"/>
          <w:spacing w:val="-3"/>
        </w:rPr>
        <w:footnoteReference w:id="23"/>
      </w:r>
      <w:r w:rsidR="00F73BE4">
        <w:rPr>
          <w:spacing w:val="-3"/>
        </w:rPr>
        <w:t xml:space="preserve"> Auch hier äußert sich der Moralist Heinrich Mann in Bildern.</w:t>
      </w:r>
    </w:p>
    <w:p w:rsidR="00DE5890" w:rsidRDefault="00DE5890" w:rsidP="00DB17F3">
      <w:pPr>
        <w:spacing w:after="0"/>
        <w:ind w:firstLine="708"/>
        <w:jc w:val="both"/>
      </w:pPr>
      <w:r>
        <w:t>H</w:t>
      </w:r>
      <w:r w:rsidR="004C1564">
        <w:t xml:space="preserve">einrich </w:t>
      </w:r>
      <w:r>
        <w:t>M</w:t>
      </w:r>
      <w:r w:rsidR="004C1564">
        <w:t>ann</w:t>
      </w:r>
      <w:r>
        <w:t xml:space="preserve"> ist ein Sprachartist</w:t>
      </w:r>
      <w:r w:rsidR="00F73BE4">
        <w:t>;</w:t>
      </w:r>
      <w:r>
        <w:t xml:space="preserve"> </w:t>
      </w:r>
      <w:r w:rsidR="00F73BE4">
        <w:t>seine</w:t>
      </w:r>
      <w:r>
        <w:t xml:space="preserve"> Wortwahl </w:t>
      </w:r>
      <w:r w:rsidR="00F73BE4">
        <w:t>ist ein Schlüssel zum angemess</w:t>
      </w:r>
      <w:r w:rsidR="00F73BE4">
        <w:t>e</w:t>
      </w:r>
      <w:r w:rsidR="00F73BE4">
        <w:t>nen Verständnis des Textes</w:t>
      </w:r>
      <w:r>
        <w:t>. Da ist einmal der Ton eines ironischen Kommentars</w:t>
      </w:r>
      <w:r w:rsidR="00F73BE4">
        <w:t>, mit dem der Vorgang scheinbar objektiv und wertneutral beschreiben wird</w:t>
      </w:r>
      <w:r>
        <w:t xml:space="preserve">: Die Wache </w:t>
      </w:r>
      <w:r w:rsidR="004C1564">
        <w:t>„</w:t>
      </w:r>
      <w:r>
        <w:t>sorgte für die Erhaltung der Sicherheit</w:t>
      </w:r>
      <w:r w:rsidR="004C1564">
        <w:t>“</w:t>
      </w:r>
      <w:r>
        <w:t xml:space="preserve"> </w:t>
      </w:r>
      <w:r w:rsidR="004C1564">
        <w:t>– w</w:t>
      </w:r>
      <w:r>
        <w:t xml:space="preserve">ohlgemerkt: </w:t>
      </w:r>
      <w:r w:rsidRPr="004C1564">
        <w:rPr>
          <w:i/>
        </w:rPr>
        <w:t>während des Mordens</w:t>
      </w:r>
      <w:r>
        <w:t xml:space="preserve">, </w:t>
      </w:r>
      <w:r w:rsidR="00F73BE4">
        <w:t xml:space="preserve">also </w:t>
      </w:r>
      <w:r>
        <w:t xml:space="preserve">für die Sicherheit der Mörder. </w:t>
      </w:r>
      <w:r w:rsidR="00604B87">
        <w:t xml:space="preserve">– Natürlich drängt sich hier die Frage auf: </w:t>
      </w:r>
      <w:r>
        <w:t>Wer kommentiert? Immer mehr verwa</w:t>
      </w:r>
      <w:r>
        <w:t>n</w:t>
      </w:r>
      <w:r>
        <w:t>delt sich der Kommentar Henris in einen Kommentar des Erzählers. E</w:t>
      </w:r>
      <w:r w:rsidR="00604B87">
        <w:t>benso bei der Beschre</w:t>
      </w:r>
      <w:r w:rsidR="00604B87">
        <w:t>i</w:t>
      </w:r>
      <w:r w:rsidR="00604B87">
        <w:lastRenderedPageBreak/>
        <w:t>bung der Mörder</w:t>
      </w:r>
      <w:r>
        <w:t xml:space="preserve">: Man bewegte sich </w:t>
      </w:r>
      <w:r w:rsidR="004C1564">
        <w:t>„</w:t>
      </w:r>
      <w:r>
        <w:t>bequem</w:t>
      </w:r>
      <w:r w:rsidR="004C1564">
        <w:t>“</w:t>
      </w:r>
      <w:r>
        <w:t xml:space="preserve"> in Abständen, die jeder Morde</w:t>
      </w:r>
      <w:r w:rsidR="004C1564">
        <w:t>n</w:t>
      </w:r>
      <w:r>
        <w:t>de zwischen sich und den Nächsten offenl</w:t>
      </w:r>
      <w:r w:rsidR="004C1564">
        <w:t>ässt</w:t>
      </w:r>
      <w:r>
        <w:t xml:space="preserve">. Durch das Wort </w:t>
      </w:r>
      <w:r w:rsidR="004C1564">
        <w:t>„</w:t>
      </w:r>
      <w:r>
        <w:t>bequem</w:t>
      </w:r>
      <w:r w:rsidR="004C1564">
        <w:t>“</w:t>
      </w:r>
      <w:r>
        <w:t xml:space="preserve"> </w:t>
      </w:r>
      <w:r w:rsidR="00F73BE4">
        <w:t>lenk</w:t>
      </w:r>
      <w:r>
        <w:t xml:space="preserve">t </w:t>
      </w:r>
      <w:r w:rsidR="00604B87">
        <w:t>Heinrich Mann</w:t>
      </w:r>
      <w:r>
        <w:t xml:space="preserve"> den Blick des Rezipienten </w:t>
      </w:r>
      <w:r w:rsidR="00F73BE4">
        <w:t>auf die Psyche der Mörder</w:t>
      </w:r>
      <w:r>
        <w:t xml:space="preserve"> und konfrontiert ihn mit </w:t>
      </w:r>
      <w:r w:rsidR="00F73BE4">
        <w:t xml:space="preserve">entsprechenden aktuellen Bezügen, die sich </w:t>
      </w:r>
      <w:r w:rsidR="00C23476">
        <w:t>dem Rezipienten aufdrängen</w:t>
      </w:r>
      <w:r w:rsidR="00604B87">
        <w:t>.</w:t>
      </w:r>
      <w:r>
        <w:t xml:space="preserve"> Das Morden wird </w:t>
      </w:r>
      <w:r w:rsidR="00C23476">
        <w:t xml:space="preserve">pointiert </w:t>
      </w:r>
      <w:r>
        <w:t xml:space="preserve">mit </w:t>
      </w:r>
      <w:r w:rsidR="004C1564">
        <w:t>dem Vorgang des „</w:t>
      </w:r>
      <w:r>
        <w:t>Blumenpflücken</w:t>
      </w:r>
      <w:r w:rsidR="004C1564">
        <w:t>s“</w:t>
      </w:r>
      <w:r>
        <w:t xml:space="preserve"> verglichen, die Geschäftigkeit der Mörder mit dem </w:t>
      </w:r>
      <w:r w:rsidR="004C1564">
        <w:t>„</w:t>
      </w:r>
      <w:r>
        <w:t>emsigen</w:t>
      </w:r>
      <w:r w:rsidR="004C1564">
        <w:t>“</w:t>
      </w:r>
      <w:r>
        <w:t xml:space="preserve"> Tre</w:t>
      </w:r>
      <w:r>
        <w:t>i</w:t>
      </w:r>
      <w:r>
        <w:t xml:space="preserve">ben von Bienen. Über all dem Geschehen steht ein </w:t>
      </w:r>
      <w:r w:rsidR="004C1564">
        <w:t>„</w:t>
      </w:r>
      <w:r>
        <w:t>blauer</w:t>
      </w:r>
      <w:r w:rsidR="004C1564">
        <w:t>“</w:t>
      </w:r>
      <w:r>
        <w:t xml:space="preserve"> Himmel. </w:t>
      </w:r>
      <w:r w:rsidR="004C1564">
        <w:t xml:space="preserve">Der Leser </w:t>
      </w:r>
      <w:r>
        <w:t>beweg</w:t>
      </w:r>
      <w:r w:rsidR="004C1564">
        <w:t>t</w:t>
      </w:r>
      <w:r>
        <w:t xml:space="preserve"> </w:t>
      </w:r>
      <w:r w:rsidR="004C1564">
        <w:t>sich also</w:t>
      </w:r>
      <w:r>
        <w:t xml:space="preserve"> in einer bildlich-optischen Idylle; umso schärfer </w:t>
      </w:r>
      <w:r w:rsidR="004C1564">
        <w:t>– u</w:t>
      </w:r>
      <w:r>
        <w:t>nd analytisch nur schwer fa</w:t>
      </w:r>
      <w:r w:rsidR="004C1564">
        <w:t>ss</w:t>
      </w:r>
      <w:r>
        <w:t xml:space="preserve">bar </w:t>
      </w:r>
      <w:r w:rsidR="00C23476">
        <w:t xml:space="preserve">– </w:t>
      </w:r>
      <w:r w:rsidR="00604B87">
        <w:t>entwickelt sich ein</w:t>
      </w:r>
      <w:r>
        <w:t xml:space="preserve"> Kontrast zwischen der bildlichen Form und dem dargestellten Ablauf.</w:t>
      </w:r>
      <w:r w:rsidR="00C23476">
        <w:t xml:space="preserve"> – Die Idylle ist nichts anderes als die Welt der „ordnungsliebenden“ Gesellschaft, die die Äc</w:t>
      </w:r>
      <w:r w:rsidR="00C23476">
        <w:t>h</w:t>
      </w:r>
      <w:r w:rsidR="00C23476">
        <w:t xml:space="preserve">tung, Beraubung und physische Bedrohung wie eine Selbstverständlichkeit mit vollzieht. Heinrich Mann antizipiert hier </w:t>
      </w:r>
      <w:r w:rsidR="00604B87">
        <w:t>auf</w:t>
      </w:r>
      <w:r w:rsidR="00C23476">
        <w:t xml:space="preserve"> bedrückende </w:t>
      </w:r>
      <w:r w:rsidR="00604B87">
        <w:t xml:space="preserve">Weise zentrale </w:t>
      </w:r>
      <w:r w:rsidR="00C23476">
        <w:t>Moment</w:t>
      </w:r>
      <w:r w:rsidR="00604B87">
        <w:t>e</w:t>
      </w:r>
      <w:r w:rsidR="00C23476">
        <w:t xml:space="preserve"> der deutschen G</w:t>
      </w:r>
      <w:r w:rsidR="00C23476">
        <w:t>e</w:t>
      </w:r>
      <w:r w:rsidR="00C23476">
        <w:t>schichte</w:t>
      </w:r>
      <w:r w:rsidR="008D2154">
        <w:t xml:space="preserve"> – und damit das Problem der nachfolgenden Generationen, die politischen und soz</w:t>
      </w:r>
      <w:r w:rsidR="008D2154">
        <w:t>i</w:t>
      </w:r>
      <w:r w:rsidR="008D2154">
        <w:t>algeschichtlichen Voraussetzungen derartigen Handelns zu reflektieren, zu analysieren und damit in ihrem perversen Charakter bewusst zu machen</w:t>
      </w:r>
      <w:r w:rsidR="00C23476">
        <w:t>.</w:t>
      </w:r>
    </w:p>
    <w:p w:rsidR="00C23476" w:rsidRDefault="00C23476" w:rsidP="00DB17F3">
      <w:pPr>
        <w:spacing w:after="0"/>
        <w:jc w:val="both"/>
      </w:pPr>
    </w:p>
    <w:p w:rsidR="00C23476" w:rsidRDefault="00C23476" w:rsidP="00DB17F3">
      <w:pPr>
        <w:spacing w:after="0"/>
        <w:jc w:val="both"/>
      </w:pPr>
    </w:p>
    <w:p w:rsidR="00DE5890" w:rsidRDefault="00DE5890" w:rsidP="00DB17F3">
      <w:pPr>
        <w:spacing w:after="0"/>
        <w:jc w:val="both"/>
      </w:pPr>
    </w:p>
    <w:sectPr w:rsidR="00DE5890" w:rsidSect="00EE591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4A7" w:rsidRDefault="001754A7" w:rsidP="002852E9">
      <w:pPr>
        <w:spacing w:after="0" w:line="240" w:lineRule="auto"/>
      </w:pPr>
      <w:r>
        <w:separator/>
      </w:r>
    </w:p>
  </w:endnote>
  <w:endnote w:type="continuationSeparator" w:id="0">
    <w:p w:rsidR="001754A7" w:rsidRDefault="001754A7" w:rsidP="00285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4A7" w:rsidRDefault="001754A7" w:rsidP="002852E9">
      <w:pPr>
        <w:spacing w:after="0" w:line="240" w:lineRule="auto"/>
      </w:pPr>
      <w:r>
        <w:separator/>
      </w:r>
    </w:p>
  </w:footnote>
  <w:footnote w:type="continuationSeparator" w:id="0">
    <w:p w:rsidR="001754A7" w:rsidRDefault="001754A7" w:rsidP="002852E9">
      <w:pPr>
        <w:spacing w:after="0" w:line="240" w:lineRule="auto"/>
      </w:pPr>
      <w:r>
        <w:continuationSeparator/>
      </w:r>
    </w:p>
  </w:footnote>
  <w:footnote w:id="1">
    <w:p w:rsidR="003D426C" w:rsidRPr="004F1161" w:rsidRDefault="003D426C" w:rsidP="000136A5">
      <w:pPr>
        <w:pStyle w:val="Funotentext"/>
      </w:pPr>
      <w:r>
        <w:rPr>
          <w:rStyle w:val="Funotenzeichen"/>
        </w:rPr>
        <w:footnoteRef/>
      </w:r>
      <w:r>
        <w:t xml:space="preserve"> Heinrich Mann: </w:t>
      </w:r>
      <w:r>
        <w:rPr>
          <w:i/>
        </w:rPr>
        <w:t>Essays und Publizistik.</w:t>
      </w:r>
      <w:r>
        <w:t xml:space="preserve"> Bd. 6: </w:t>
      </w:r>
      <w:r>
        <w:rPr>
          <w:i/>
        </w:rPr>
        <w:t>Februar 1933 bis 1935.</w:t>
      </w:r>
      <w:r>
        <w:t xml:space="preserve"> Teil 1: </w:t>
      </w:r>
      <w:r>
        <w:rPr>
          <w:i/>
        </w:rPr>
        <w:t>Texte.</w:t>
      </w:r>
      <w:r>
        <w:t xml:space="preserve"> Hrsg. von Wolfgang Klein. Bielefeld 2009, S. 144. </w:t>
      </w:r>
    </w:p>
  </w:footnote>
  <w:footnote w:id="2">
    <w:p w:rsidR="003D426C" w:rsidRDefault="003D426C">
      <w:pPr>
        <w:pStyle w:val="Funotentext"/>
      </w:pPr>
      <w:r>
        <w:rPr>
          <w:rStyle w:val="Funotenzeichen"/>
        </w:rPr>
        <w:footnoteRef/>
      </w:r>
      <w:r>
        <w:t xml:space="preserve"> Ebd., S. 146.</w:t>
      </w:r>
    </w:p>
  </w:footnote>
  <w:footnote w:id="3">
    <w:p w:rsidR="003D426C" w:rsidRDefault="003D426C">
      <w:pPr>
        <w:pStyle w:val="Funotentext"/>
      </w:pPr>
      <w:r>
        <w:rPr>
          <w:rStyle w:val="Funotenzeichen"/>
        </w:rPr>
        <w:footnoteRef/>
      </w:r>
      <w:r>
        <w:t xml:space="preserve"> S. 149.</w:t>
      </w:r>
    </w:p>
  </w:footnote>
  <w:footnote w:id="4">
    <w:p w:rsidR="003D426C" w:rsidRDefault="003D426C">
      <w:pPr>
        <w:pStyle w:val="Funotentext"/>
      </w:pPr>
      <w:r>
        <w:rPr>
          <w:rStyle w:val="Funotenzeichen"/>
        </w:rPr>
        <w:footnoteRef/>
      </w:r>
      <w:r>
        <w:t xml:space="preserve"> Ludolf Herbst: </w:t>
      </w:r>
      <w:r w:rsidRPr="008D593B">
        <w:rPr>
          <w:i/>
        </w:rPr>
        <w:t>Hitlers Charisma</w:t>
      </w:r>
      <w:r>
        <w:t>. Die Erfindung eines deutschen Messias. Frankfurt a.M. 2010, S. 134 ff.</w:t>
      </w:r>
    </w:p>
  </w:footnote>
  <w:footnote w:id="5">
    <w:p w:rsidR="003D426C" w:rsidRDefault="003D426C" w:rsidP="00554607">
      <w:pPr>
        <w:tabs>
          <w:tab w:val="left" w:pos="-720"/>
        </w:tabs>
        <w:spacing w:after="0" w:line="240" w:lineRule="auto"/>
        <w:jc w:val="both"/>
      </w:pPr>
      <w:r>
        <w:rPr>
          <w:rStyle w:val="Funotenzeichen"/>
        </w:rPr>
        <w:footnoteRef/>
      </w:r>
      <w:r>
        <w:t xml:space="preserve"> </w:t>
      </w:r>
      <w:r w:rsidRPr="00554607">
        <w:rPr>
          <w:sz w:val="20"/>
          <w:szCs w:val="20"/>
        </w:rPr>
        <w:t xml:space="preserve">Vgl. </w:t>
      </w:r>
      <w:r>
        <w:rPr>
          <w:sz w:val="20"/>
          <w:szCs w:val="20"/>
        </w:rPr>
        <w:t xml:space="preserve">zu diesem Themenkomplex: Frithjof Trapp: </w:t>
      </w:r>
      <w:r w:rsidRPr="00554607">
        <w:rPr>
          <w:spacing w:val="-3"/>
          <w:sz w:val="20"/>
          <w:szCs w:val="20"/>
        </w:rPr>
        <w:t xml:space="preserve">Heinrich Mann: Politik und Psychologie. – In: </w:t>
      </w:r>
      <w:r w:rsidRPr="00554607">
        <w:rPr>
          <w:i/>
          <w:spacing w:val="-3"/>
          <w:sz w:val="20"/>
          <w:szCs w:val="20"/>
        </w:rPr>
        <w:t>Heinrich Mann-Jahrbuch</w:t>
      </w:r>
      <w:r w:rsidRPr="00554607">
        <w:rPr>
          <w:spacing w:val="-3"/>
          <w:sz w:val="20"/>
          <w:szCs w:val="20"/>
        </w:rPr>
        <w:t xml:space="preserve"> 12 (1994), S. 9-23</w:t>
      </w:r>
      <w:r>
        <w:rPr>
          <w:spacing w:val="-3"/>
          <w:sz w:val="20"/>
          <w:szCs w:val="20"/>
        </w:rPr>
        <w:t xml:space="preserve">, und </w:t>
      </w:r>
      <w:proofErr w:type="spellStart"/>
      <w:r>
        <w:rPr>
          <w:spacing w:val="-3"/>
          <w:sz w:val="20"/>
          <w:szCs w:val="20"/>
        </w:rPr>
        <w:t>ders</w:t>
      </w:r>
      <w:proofErr w:type="spellEnd"/>
      <w:r>
        <w:rPr>
          <w:spacing w:val="-3"/>
          <w:sz w:val="20"/>
          <w:szCs w:val="20"/>
        </w:rPr>
        <w:t xml:space="preserve">.: </w:t>
      </w:r>
      <w:r w:rsidRPr="008D593B">
        <w:rPr>
          <w:spacing w:val="-3"/>
          <w:sz w:val="20"/>
          <w:szCs w:val="20"/>
        </w:rPr>
        <w:t xml:space="preserve">Geschichte als Spiegel politischer Reflexion – </w:t>
      </w:r>
      <w:r>
        <w:rPr>
          <w:spacing w:val="-3"/>
          <w:sz w:val="20"/>
          <w:szCs w:val="20"/>
        </w:rPr>
        <w:t>„</w:t>
      </w:r>
      <w:r w:rsidRPr="008D593B">
        <w:rPr>
          <w:spacing w:val="-3"/>
          <w:sz w:val="20"/>
          <w:szCs w:val="20"/>
        </w:rPr>
        <w:t>Kunst</w:t>
      </w:r>
      <w:r>
        <w:rPr>
          <w:spacing w:val="-3"/>
          <w:sz w:val="20"/>
          <w:szCs w:val="20"/>
        </w:rPr>
        <w:t>“</w:t>
      </w:r>
      <w:r w:rsidRPr="008D593B">
        <w:rPr>
          <w:spacing w:val="-3"/>
          <w:sz w:val="20"/>
          <w:szCs w:val="20"/>
        </w:rPr>
        <w:t xml:space="preserve"> als Konkretisierung geschichtlicher Erfahrung. Überlegungen zum Alterswerk Heinrich Manns. – In: </w:t>
      </w:r>
      <w:r w:rsidRPr="008D593B">
        <w:rPr>
          <w:i/>
          <w:spacing w:val="-3"/>
          <w:sz w:val="20"/>
          <w:szCs w:val="20"/>
        </w:rPr>
        <w:t>Heinrich-Mann-Jahrbuch</w:t>
      </w:r>
      <w:r w:rsidRPr="008D593B">
        <w:rPr>
          <w:spacing w:val="-3"/>
          <w:sz w:val="20"/>
          <w:szCs w:val="20"/>
        </w:rPr>
        <w:t xml:space="preserve"> 3 (1985), S. 93-106.</w:t>
      </w:r>
    </w:p>
  </w:footnote>
  <w:footnote w:id="6">
    <w:p w:rsidR="003D426C" w:rsidRPr="004002B8" w:rsidRDefault="003D426C">
      <w:pPr>
        <w:pStyle w:val="Funotentext"/>
      </w:pPr>
      <w:r>
        <w:rPr>
          <w:rStyle w:val="Funotenzeichen"/>
        </w:rPr>
        <w:footnoteRef/>
      </w:r>
      <w:r>
        <w:t xml:space="preserve"> Vgl. Renate Werner: </w:t>
      </w:r>
      <w:r>
        <w:rPr>
          <w:i/>
        </w:rPr>
        <w:t xml:space="preserve">Skeptizismus, Ästhetizismus, Aktivismus. </w:t>
      </w:r>
      <w:r>
        <w:t xml:space="preserve">Der frühe Heinrich Mann. Düsseldorf 1972, S. 28 ff., ebenso </w:t>
      </w:r>
      <w:r w:rsidRPr="004002B8">
        <w:t>Ariane Martin</w:t>
      </w:r>
      <w:r>
        <w:rPr>
          <w:b/>
        </w:rPr>
        <w:t xml:space="preserve">: </w:t>
      </w:r>
      <w:r w:rsidRPr="004002B8">
        <w:rPr>
          <w:i/>
        </w:rPr>
        <w:t>Ero</w:t>
      </w:r>
      <w:r>
        <w:rPr>
          <w:i/>
        </w:rPr>
        <w:t xml:space="preserve">tische Politik. </w:t>
      </w:r>
      <w:r>
        <w:t>Heinrich Manns erzählerisches Frühwerk. Würzburg 1993</w:t>
      </w:r>
      <w:r w:rsidRPr="004002B8">
        <w:t xml:space="preserve">, </w:t>
      </w:r>
      <w:r>
        <w:t xml:space="preserve">und Michael </w:t>
      </w:r>
      <w:proofErr w:type="spellStart"/>
      <w:r w:rsidRPr="004002B8">
        <w:t>Zweigart</w:t>
      </w:r>
      <w:proofErr w:type="spellEnd"/>
      <w:r>
        <w:t xml:space="preserve">: </w:t>
      </w:r>
      <w:r>
        <w:rPr>
          <w:i/>
        </w:rPr>
        <w:t>Diktatur der Vernunft und Demokratie des Lebens.</w:t>
      </w:r>
      <w:r>
        <w:t xml:space="preserve"> Lebensphilosophische Elemente (Georg Simmel) in den Henri-</w:t>
      </w:r>
      <w:proofErr w:type="spellStart"/>
      <w:r>
        <w:t>Quatre</w:t>
      </w:r>
      <w:proofErr w:type="spellEnd"/>
      <w:r>
        <w:t>-Romanen Heinrich Manns. Frankfurt a.M. 2008.</w:t>
      </w:r>
    </w:p>
  </w:footnote>
  <w:footnote w:id="7">
    <w:p w:rsidR="003D426C" w:rsidRDefault="003D426C">
      <w:pPr>
        <w:pStyle w:val="Funotentext"/>
      </w:pPr>
      <w:r>
        <w:rPr>
          <w:rStyle w:val="Funotenzeichen"/>
        </w:rPr>
        <w:footnoteRef/>
      </w:r>
      <w:r>
        <w:t xml:space="preserve"> Vgl. Ferdinand Fellmann: </w:t>
      </w:r>
      <w:r>
        <w:rPr>
          <w:i/>
          <w:iCs/>
        </w:rPr>
        <w:t>Lebensphilosophie</w:t>
      </w:r>
      <w:r w:rsidRPr="00D1168A">
        <w:rPr>
          <w:iCs/>
        </w:rPr>
        <w:t>. Elemente einer Theorie der Selbsterfahrung</w:t>
      </w:r>
      <w:r>
        <w:t>. Reinbek 1993.</w:t>
      </w:r>
    </w:p>
  </w:footnote>
  <w:footnote w:id="8">
    <w:p w:rsidR="003D426C" w:rsidRPr="00F52C89" w:rsidRDefault="003D426C" w:rsidP="002A60FA">
      <w:pPr>
        <w:pStyle w:val="Funotentext"/>
      </w:pPr>
      <w:r>
        <w:rPr>
          <w:rStyle w:val="Funotenzeichen"/>
        </w:rPr>
        <w:footnoteRef/>
      </w:r>
      <w:r>
        <w:t xml:space="preserve"> Von Otto Strasser erschien 1935 im Schweizer </w:t>
      </w:r>
      <w:proofErr w:type="spellStart"/>
      <w:r>
        <w:t>Reso</w:t>
      </w:r>
      <w:proofErr w:type="spellEnd"/>
      <w:r>
        <w:t xml:space="preserve"> Verlag das Buch </w:t>
      </w:r>
      <w:r>
        <w:rPr>
          <w:i/>
        </w:rPr>
        <w:t xml:space="preserve">Die deutsche </w:t>
      </w:r>
      <w:proofErr w:type="spellStart"/>
      <w:r>
        <w:rPr>
          <w:i/>
        </w:rPr>
        <w:t>Bartholomäusnacht</w:t>
      </w:r>
      <w:proofErr w:type="spellEnd"/>
      <w:r>
        <w:rPr>
          <w:i/>
        </w:rPr>
        <w:t xml:space="preserve"> </w:t>
      </w:r>
      <w:r>
        <w:t>und Max Zweig verfasste unter demselben Titel ein Drama.</w:t>
      </w:r>
    </w:p>
  </w:footnote>
  <w:footnote w:id="9">
    <w:p w:rsidR="003D426C" w:rsidRPr="002A60FA" w:rsidRDefault="003D426C" w:rsidP="00205556">
      <w:pPr>
        <w:pStyle w:val="Funotentext"/>
      </w:pPr>
      <w:r>
        <w:rPr>
          <w:rStyle w:val="Funotenzeichen"/>
        </w:rPr>
        <w:footnoteRef/>
      </w:r>
      <w:r w:rsidRPr="002A60FA">
        <w:t xml:space="preserve"> Vgl. z.B. Joseph Roths Brief an Stefan Zwei</w:t>
      </w:r>
      <w:r>
        <w:t>g von Mitte Februar 1933, der in dem Satz „Die Hölle regiert“ kulminiert.</w:t>
      </w:r>
    </w:p>
  </w:footnote>
  <w:footnote w:id="10">
    <w:p w:rsidR="003D426C" w:rsidRDefault="003D426C">
      <w:pPr>
        <w:pStyle w:val="Funotentext"/>
      </w:pPr>
      <w:r>
        <w:rPr>
          <w:rStyle w:val="Funotenzeichen"/>
        </w:rPr>
        <w:footnoteRef/>
      </w:r>
      <w:r>
        <w:t xml:space="preserve"> Heinrich Mann: </w:t>
      </w:r>
      <w:r>
        <w:rPr>
          <w:i/>
        </w:rPr>
        <w:t xml:space="preserve">Die Jugend des Königs Henri </w:t>
      </w:r>
      <w:proofErr w:type="spellStart"/>
      <w:r>
        <w:rPr>
          <w:i/>
        </w:rPr>
        <w:t>Quatre</w:t>
      </w:r>
      <w:proofErr w:type="spellEnd"/>
      <w:r>
        <w:rPr>
          <w:i/>
        </w:rPr>
        <w:t>.</w:t>
      </w:r>
      <w:r>
        <w:t xml:space="preserve"> (= </w:t>
      </w:r>
      <w:r>
        <w:rPr>
          <w:i/>
        </w:rPr>
        <w:t>Gesammelte Werke.</w:t>
      </w:r>
      <w:r>
        <w:t xml:space="preserve"> Hrsg. von der Deutschen Ak</w:t>
      </w:r>
      <w:r>
        <w:t>a</w:t>
      </w:r>
      <w:r>
        <w:t>demie der Künste zu Berlin. Bd. 11). Berlin/Weimar 1970, S. 292 f.</w:t>
      </w:r>
    </w:p>
  </w:footnote>
  <w:footnote w:id="11">
    <w:p w:rsidR="003D426C" w:rsidRDefault="003D426C" w:rsidP="00F30334">
      <w:pPr>
        <w:pStyle w:val="Funotentext"/>
      </w:pPr>
      <w:r>
        <w:rPr>
          <w:rStyle w:val="Funotenzeichen"/>
        </w:rPr>
        <w:footnoteRef/>
      </w:r>
      <w:r>
        <w:t xml:space="preserve"> Ebd., S. 293.</w:t>
      </w:r>
    </w:p>
  </w:footnote>
  <w:footnote w:id="12">
    <w:p w:rsidR="003D426C" w:rsidRDefault="003D426C">
      <w:pPr>
        <w:pStyle w:val="Funotentext"/>
      </w:pPr>
      <w:r>
        <w:rPr>
          <w:rStyle w:val="Funotenzeichen"/>
        </w:rPr>
        <w:footnoteRef/>
      </w:r>
      <w:r>
        <w:t xml:space="preserve"> Vgl. Wolf </w:t>
      </w:r>
      <w:proofErr w:type="spellStart"/>
      <w:r>
        <w:t>Jöckel</w:t>
      </w:r>
      <w:proofErr w:type="spellEnd"/>
      <w:r>
        <w:t xml:space="preserve">: </w:t>
      </w:r>
      <w:r w:rsidRPr="001D4B6A">
        <w:rPr>
          <w:i/>
        </w:rPr>
        <w:t>Heinrich</w:t>
      </w:r>
      <w:r>
        <w:t xml:space="preserve"> </w:t>
      </w:r>
      <w:r w:rsidRPr="001D4B6A">
        <w:rPr>
          <w:i/>
        </w:rPr>
        <w:t xml:space="preserve">Manns ‚Henri </w:t>
      </w:r>
      <w:proofErr w:type="spellStart"/>
      <w:r w:rsidRPr="001D4B6A">
        <w:rPr>
          <w:i/>
        </w:rPr>
        <w:t>Quatre</w:t>
      </w:r>
      <w:proofErr w:type="spellEnd"/>
      <w:r w:rsidRPr="001D4B6A">
        <w:rPr>
          <w:i/>
        </w:rPr>
        <w:t>‘ als Gegenbild zum nationalsozialistischen Deutschland</w:t>
      </w:r>
      <w:r>
        <w:t>. Worms 1977, S. 361.</w:t>
      </w:r>
    </w:p>
  </w:footnote>
  <w:footnote w:id="13">
    <w:p w:rsidR="003D426C" w:rsidRDefault="003D426C">
      <w:pPr>
        <w:pStyle w:val="Funotentext"/>
      </w:pPr>
      <w:r>
        <w:rPr>
          <w:rStyle w:val="Funotenzeichen"/>
        </w:rPr>
        <w:footnoteRef/>
      </w:r>
      <w:r>
        <w:t xml:space="preserve"> Vgl. </w:t>
      </w:r>
      <w:proofErr w:type="spellStart"/>
      <w:r>
        <w:t>Hadwig</w:t>
      </w:r>
      <w:proofErr w:type="spellEnd"/>
      <w:r>
        <w:t xml:space="preserve"> Kirchner-Klemperer: </w:t>
      </w:r>
      <w:r>
        <w:rPr>
          <w:i/>
        </w:rPr>
        <w:t xml:space="preserve">Heinrich Manns Roman: „Die Jugend und die Vollendung des Königs Henri </w:t>
      </w:r>
      <w:proofErr w:type="spellStart"/>
      <w:r>
        <w:rPr>
          <w:i/>
        </w:rPr>
        <w:t>Quatre</w:t>
      </w:r>
      <w:proofErr w:type="spellEnd"/>
      <w:r>
        <w:rPr>
          <w:i/>
        </w:rPr>
        <w:t xml:space="preserve">“ im Verhältnis zu seinen Quellen und vorlagen </w:t>
      </w:r>
      <w:r>
        <w:t xml:space="preserve">(Ein Beitrag zum Thema: „Historischer Roman“). Berlin. Humboldt-Universität. Phil. </w:t>
      </w:r>
      <w:proofErr w:type="spellStart"/>
      <w:r>
        <w:t>Diss</w:t>
      </w:r>
      <w:proofErr w:type="spellEnd"/>
      <w:r>
        <w:t xml:space="preserve"> 1957 (masch.), S. 230 ff.</w:t>
      </w:r>
    </w:p>
  </w:footnote>
  <w:footnote w:id="14">
    <w:p w:rsidR="003D426C" w:rsidRDefault="003D426C">
      <w:pPr>
        <w:pStyle w:val="Funotentext"/>
      </w:pPr>
      <w:r>
        <w:rPr>
          <w:rStyle w:val="Funotenzeichen"/>
        </w:rPr>
        <w:footnoteRef/>
      </w:r>
      <w:r>
        <w:t xml:space="preserve"> Ebd., S. 237.</w:t>
      </w:r>
    </w:p>
  </w:footnote>
  <w:footnote w:id="15">
    <w:p w:rsidR="003D426C" w:rsidRDefault="003D426C">
      <w:pPr>
        <w:pStyle w:val="Funotentext"/>
      </w:pPr>
      <w:r>
        <w:rPr>
          <w:rStyle w:val="Funotenzeichen"/>
        </w:rPr>
        <w:footnoteRef/>
      </w:r>
      <w:r>
        <w:t xml:space="preserve"> Heinrich Mann: </w:t>
      </w:r>
      <w:r>
        <w:rPr>
          <w:i/>
        </w:rPr>
        <w:t>Die Jugend</w:t>
      </w:r>
      <w:r>
        <w:t>, a.a.O., S. 294.</w:t>
      </w:r>
    </w:p>
  </w:footnote>
  <w:footnote w:id="16">
    <w:p w:rsidR="003D426C" w:rsidRDefault="003D426C">
      <w:pPr>
        <w:pStyle w:val="Funotentext"/>
      </w:pPr>
      <w:r>
        <w:rPr>
          <w:rStyle w:val="Funotenzeichen"/>
        </w:rPr>
        <w:footnoteRef/>
      </w:r>
      <w:r>
        <w:t xml:space="preserve"> Viele Romane Heinrich Manns kulminieren in Exzessen, die ein „moralistisches Abbild“ der dargestellten gesellschaftlichen Wirklichkeit sind. Die </w:t>
      </w:r>
      <w:proofErr w:type="spellStart"/>
      <w:r>
        <w:t>Bartholomäusnacht</w:t>
      </w:r>
      <w:proofErr w:type="spellEnd"/>
      <w:r>
        <w:t xml:space="preserve"> ist daher nicht nur als historisches Geschehen zu verstehen, sondern im Sinne ästhetisch-moralistischer </w:t>
      </w:r>
      <w:proofErr w:type="spellStart"/>
      <w:r>
        <w:t>charakteriserungen</w:t>
      </w:r>
      <w:proofErr w:type="spellEnd"/>
      <w:r>
        <w:t xml:space="preserve"> als </w:t>
      </w:r>
      <w:proofErr w:type="spellStart"/>
      <w:r>
        <w:t>als</w:t>
      </w:r>
      <w:proofErr w:type="spellEnd"/>
      <w:r>
        <w:t xml:space="preserve"> „Exzess“. Vgl. Frithjof Trapp: </w:t>
      </w:r>
      <w:r>
        <w:rPr>
          <w:i/>
        </w:rPr>
        <w:t xml:space="preserve">„Kunst“ als </w:t>
      </w:r>
      <w:proofErr w:type="spellStart"/>
      <w:r>
        <w:rPr>
          <w:i/>
        </w:rPr>
        <w:t>Gesellshaftsanalyse</w:t>
      </w:r>
      <w:proofErr w:type="spellEnd"/>
      <w:r>
        <w:rPr>
          <w:i/>
        </w:rPr>
        <w:t xml:space="preserve"> und Gesellschaftskritik bei Heinrich Mann.</w:t>
      </w:r>
      <w:r>
        <w:t xml:space="preserve"> Berlin/New York 1975. </w:t>
      </w:r>
    </w:p>
  </w:footnote>
  <w:footnote w:id="17">
    <w:p w:rsidR="003D426C" w:rsidRPr="007A1F5E" w:rsidRDefault="003D426C">
      <w:pPr>
        <w:pStyle w:val="Funotentext"/>
      </w:pPr>
      <w:r>
        <w:rPr>
          <w:rStyle w:val="Funotenzeichen"/>
        </w:rPr>
        <w:footnoteRef/>
      </w:r>
      <w:r>
        <w:t xml:space="preserve"> Die Erkenntnis der Schuld und des eigenen Versagens erfolgt im Fortgang der Handlung erst später; Heinrich Mann hat dieses Moment sicherlich nicht ohne Bedacht an den Anfang des </w:t>
      </w:r>
      <w:r>
        <w:rPr>
          <w:i/>
        </w:rPr>
        <w:t>nachfolgenden</w:t>
      </w:r>
      <w:r>
        <w:t xml:space="preserve"> Kapitels V gestellt (S. 296 ff.).</w:t>
      </w:r>
    </w:p>
  </w:footnote>
  <w:footnote w:id="18">
    <w:p w:rsidR="003D426C" w:rsidRDefault="003D426C">
      <w:pPr>
        <w:pStyle w:val="Funotentext"/>
      </w:pPr>
      <w:r>
        <w:rPr>
          <w:rStyle w:val="Funotenzeichen"/>
        </w:rPr>
        <w:footnoteRef/>
      </w:r>
      <w:r>
        <w:t xml:space="preserve"> Heinrich Mann: </w:t>
      </w:r>
      <w:r>
        <w:rPr>
          <w:i/>
        </w:rPr>
        <w:t xml:space="preserve">Die Jugend, </w:t>
      </w:r>
      <w:r>
        <w:t>S. 293.</w:t>
      </w:r>
    </w:p>
  </w:footnote>
  <w:footnote w:id="19">
    <w:p w:rsidR="003D426C" w:rsidRDefault="003D426C">
      <w:pPr>
        <w:pStyle w:val="Funotentext"/>
      </w:pPr>
      <w:r>
        <w:rPr>
          <w:rStyle w:val="Funotenzeichen"/>
        </w:rPr>
        <w:footnoteRef/>
      </w:r>
      <w:r>
        <w:t xml:space="preserve"> Ebd.</w:t>
      </w:r>
    </w:p>
  </w:footnote>
  <w:footnote w:id="20">
    <w:p w:rsidR="003D426C" w:rsidRPr="00FC37E2" w:rsidRDefault="003D426C">
      <w:pPr>
        <w:pStyle w:val="Funotentext"/>
      </w:pPr>
      <w:r>
        <w:rPr>
          <w:rStyle w:val="Funotenzeichen"/>
        </w:rPr>
        <w:footnoteRef/>
      </w:r>
      <w:r>
        <w:t xml:space="preserve"> Vgl. insbesondere Renate Werner: </w:t>
      </w:r>
      <w:r>
        <w:rPr>
          <w:i/>
        </w:rPr>
        <w:t xml:space="preserve">Skeptizismus, </w:t>
      </w:r>
      <w:r w:rsidRPr="00FC37E2">
        <w:t>a</w:t>
      </w:r>
      <w:r>
        <w:t>.a.O., S. 28 ff.</w:t>
      </w:r>
    </w:p>
  </w:footnote>
  <w:footnote w:id="21">
    <w:p w:rsidR="003D426C" w:rsidRDefault="003D426C">
      <w:pPr>
        <w:pStyle w:val="Funotentext"/>
      </w:pPr>
      <w:r>
        <w:rPr>
          <w:rStyle w:val="Funotenzeichen"/>
        </w:rPr>
        <w:footnoteRef/>
      </w:r>
      <w:r>
        <w:t xml:space="preserve"> Heinrich Mann: </w:t>
      </w:r>
      <w:r>
        <w:rPr>
          <w:i/>
        </w:rPr>
        <w:t>Die Jugend</w:t>
      </w:r>
      <w:r>
        <w:t>, S. 294.</w:t>
      </w:r>
    </w:p>
  </w:footnote>
  <w:footnote w:id="22">
    <w:p w:rsidR="003D426C" w:rsidRDefault="003D426C">
      <w:pPr>
        <w:pStyle w:val="Funotentext"/>
      </w:pPr>
      <w:r>
        <w:rPr>
          <w:rStyle w:val="Funotenzeichen"/>
        </w:rPr>
        <w:footnoteRef/>
      </w:r>
      <w:r>
        <w:t xml:space="preserve"> Kirchner-Klemperer: </w:t>
      </w:r>
      <w:r>
        <w:rPr>
          <w:i/>
        </w:rPr>
        <w:t>Heinrich Manns Roman</w:t>
      </w:r>
      <w:r>
        <w:t>, S. 237.</w:t>
      </w:r>
    </w:p>
  </w:footnote>
  <w:footnote w:id="23">
    <w:p w:rsidR="003D426C" w:rsidRDefault="003D426C">
      <w:pPr>
        <w:pStyle w:val="Funotentext"/>
      </w:pPr>
      <w:r>
        <w:rPr>
          <w:rStyle w:val="Funotenzeichen"/>
        </w:rPr>
        <w:footnoteRef/>
      </w:r>
      <w:r>
        <w:t xml:space="preserve"> Heinrich Mann: </w:t>
      </w:r>
      <w:r>
        <w:rPr>
          <w:i/>
        </w:rPr>
        <w:t>Die Vollendung</w:t>
      </w:r>
      <w:r w:rsidR="00604B87">
        <w:rPr>
          <w:i/>
        </w:rPr>
        <w:t xml:space="preserve"> des Königs Henri </w:t>
      </w:r>
      <w:proofErr w:type="spellStart"/>
      <w:r w:rsidR="00604B87">
        <w:rPr>
          <w:i/>
        </w:rPr>
        <w:t>Quatre</w:t>
      </w:r>
      <w:proofErr w:type="spellEnd"/>
      <w:r w:rsidR="00604B87" w:rsidRPr="00604B87">
        <w:t xml:space="preserve"> </w:t>
      </w:r>
      <w:r w:rsidR="00604B87">
        <w:t xml:space="preserve">(= </w:t>
      </w:r>
      <w:r w:rsidR="00604B87">
        <w:rPr>
          <w:i/>
        </w:rPr>
        <w:t>Gesammelte Werke.</w:t>
      </w:r>
      <w:r w:rsidR="00604B87">
        <w:t xml:space="preserve"> Hrsg. von der Deutschen Akademie der Künste zu Berlin. Bd. 12). Berlin/Weimar 1970, </w:t>
      </w:r>
      <w:r>
        <w:t>S. 189 f., 200; vgl. auch S. 267.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8610"/>
      <w:docPartObj>
        <w:docPartGallery w:val="Page Numbers (Top of Page)"/>
        <w:docPartUnique/>
      </w:docPartObj>
    </w:sdtPr>
    <w:sdtEndPr/>
    <w:sdtContent>
      <w:p w:rsidR="003D426C" w:rsidRDefault="001754A7">
        <w:pPr>
          <w:pStyle w:val="Kopfzeile"/>
          <w:jc w:val="right"/>
        </w:pPr>
        <w:r>
          <w:fldChar w:fldCharType="begin"/>
        </w:r>
        <w:r>
          <w:instrText xml:space="preserve"> PAGE   \* MERGEFORMAT </w:instrText>
        </w:r>
        <w:r>
          <w:fldChar w:fldCharType="separate"/>
        </w:r>
        <w:r w:rsidR="00DB17F3">
          <w:rPr>
            <w:noProof/>
          </w:rPr>
          <w:t>1</w:t>
        </w:r>
        <w:r>
          <w:rPr>
            <w:noProof/>
          </w:rPr>
          <w:fldChar w:fldCharType="end"/>
        </w:r>
      </w:p>
    </w:sdtContent>
  </w:sdt>
  <w:p w:rsidR="003D426C" w:rsidRDefault="003D42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08BA"/>
    <w:rsid w:val="00011217"/>
    <w:rsid w:val="000120F7"/>
    <w:rsid w:val="000136A5"/>
    <w:rsid w:val="000329E0"/>
    <w:rsid w:val="00074BD5"/>
    <w:rsid w:val="000943B5"/>
    <w:rsid w:val="000A0D50"/>
    <w:rsid w:val="000A2E86"/>
    <w:rsid w:val="000B2A77"/>
    <w:rsid w:val="000B6C65"/>
    <w:rsid w:val="000F3A8D"/>
    <w:rsid w:val="0011203E"/>
    <w:rsid w:val="00117EE6"/>
    <w:rsid w:val="00153691"/>
    <w:rsid w:val="001754A7"/>
    <w:rsid w:val="001774BB"/>
    <w:rsid w:val="00195894"/>
    <w:rsid w:val="001A1968"/>
    <w:rsid w:val="001A3BE9"/>
    <w:rsid w:val="001C3289"/>
    <w:rsid w:val="001C4D55"/>
    <w:rsid w:val="001D4B6A"/>
    <w:rsid w:val="001D5E53"/>
    <w:rsid w:val="00205556"/>
    <w:rsid w:val="00205F7B"/>
    <w:rsid w:val="0023111C"/>
    <w:rsid w:val="00252B4D"/>
    <w:rsid w:val="002852E9"/>
    <w:rsid w:val="002A60FA"/>
    <w:rsid w:val="002D504B"/>
    <w:rsid w:val="002F58C5"/>
    <w:rsid w:val="003027CD"/>
    <w:rsid w:val="00315CF7"/>
    <w:rsid w:val="00352D98"/>
    <w:rsid w:val="00354CB4"/>
    <w:rsid w:val="003722A7"/>
    <w:rsid w:val="00384524"/>
    <w:rsid w:val="003D426C"/>
    <w:rsid w:val="003E2DDF"/>
    <w:rsid w:val="004002B8"/>
    <w:rsid w:val="004102BF"/>
    <w:rsid w:val="00411E83"/>
    <w:rsid w:val="004577A3"/>
    <w:rsid w:val="004622BA"/>
    <w:rsid w:val="004664F7"/>
    <w:rsid w:val="00483C2C"/>
    <w:rsid w:val="00496E2D"/>
    <w:rsid w:val="004A7862"/>
    <w:rsid w:val="004C1564"/>
    <w:rsid w:val="004D6EA3"/>
    <w:rsid w:val="004F1161"/>
    <w:rsid w:val="004F3F07"/>
    <w:rsid w:val="00502D39"/>
    <w:rsid w:val="00507CEE"/>
    <w:rsid w:val="005518CA"/>
    <w:rsid w:val="00554607"/>
    <w:rsid w:val="005A72C2"/>
    <w:rsid w:val="005C429F"/>
    <w:rsid w:val="005C58C0"/>
    <w:rsid w:val="00604B87"/>
    <w:rsid w:val="00611A4F"/>
    <w:rsid w:val="00666006"/>
    <w:rsid w:val="0066724F"/>
    <w:rsid w:val="0067519D"/>
    <w:rsid w:val="0068120C"/>
    <w:rsid w:val="006A4916"/>
    <w:rsid w:val="006C3005"/>
    <w:rsid w:val="0070416E"/>
    <w:rsid w:val="007079EC"/>
    <w:rsid w:val="00746BC8"/>
    <w:rsid w:val="007513E7"/>
    <w:rsid w:val="007537B4"/>
    <w:rsid w:val="00754C8F"/>
    <w:rsid w:val="007818F9"/>
    <w:rsid w:val="007900DD"/>
    <w:rsid w:val="007925BE"/>
    <w:rsid w:val="007A1F5E"/>
    <w:rsid w:val="007A45DD"/>
    <w:rsid w:val="007C7235"/>
    <w:rsid w:val="007F30DC"/>
    <w:rsid w:val="007F6830"/>
    <w:rsid w:val="00835D74"/>
    <w:rsid w:val="008403A9"/>
    <w:rsid w:val="00844F53"/>
    <w:rsid w:val="0086444F"/>
    <w:rsid w:val="008C19F9"/>
    <w:rsid w:val="008D2154"/>
    <w:rsid w:val="008D593B"/>
    <w:rsid w:val="008D5D1C"/>
    <w:rsid w:val="008E532D"/>
    <w:rsid w:val="008F4F7D"/>
    <w:rsid w:val="00905E05"/>
    <w:rsid w:val="00924C1E"/>
    <w:rsid w:val="00975893"/>
    <w:rsid w:val="0099608F"/>
    <w:rsid w:val="009B4B10"/>
    <w:rsid w:val="00A073F3"/>
    <w:rsid w:val="00A36B5E"/>
    <w:rsid w:val="00A44A37"/>
    <w:rsid w:val="00A67FC5"/>
    <w:rsid w:val="00A75718"/>
    <w:rsid w:val="00A8418D"/>
    <w:rsid w:val="00AF2250"/>
    <w:rsid w:val="00AF788E"/>
    <w:rsid w:val="00B0419B"/>
    <w:rsid w:val="00B22914"/>
    <w:rsid w:val="00B2396F"/>
    <w:rsid w:val="00B32016"/>
    <w:rsid w:val="00B57AD7"/>
    <w:rsid w:val="00B7127C"/>
    <w:rsid w:val="00C167E6"/>
    <w:rsid w:val="00C23476"/>
    <w:rsid w:val="00C434C7"/>
    <w:rsid w:val="00C759C9"/>
    <w:rsid w:val="00C94BD8"/>
    <w:rsid w:val="00C95D33"/>
    <w:rsid w:val="00CD520E"/>
    <w:rsid w:val="00CE0B90"/>
    <w:rsid w:val="00CF4D20"/>
    <w:rsid w:val="00D1168A"/>
    <w:rsid w:val="00D12A30"/>
    <w:rsid w:val="00D328F9"/>
    <w:rsid w:val="00D356AB"/>
    <w:rsid w:val="00D41AB9"/>
    <w:rsid w:val="00D45A55"/>
    <w:rsid w:val="00DB17F3"/>
    <w:rsid w:val="00DB3D94"/>
    <w:rsid w:val="00DC0FCA"/>
    <w:rsid w:val="00DE5890"/>
    <w:rsid w:val="00E029AD"/>
    <w:rsid w:val="00E13899"/>
    <w:rsid w:val="00E25D5C"/>
    <w:rsid w:val="00E43096"/>
    <w:rsid w:val="00E61552"/>
    <w:rsid w:val="00E708BA"/>
    <w:rsid w:val="00E907C5"/>
    <w:rsid w:val="00EA15A5"/>
    <w:rsid w:val="00ED20E1"/>
    <w:rsid w:val="00EE4471"/>
    <w:rsid w:val="00EE591C"/>
    <w:rsid w:val="00F10AA7"/>
    <w:rsid w:val="00F30334"/>
    <w:rsid w:val="00F36EFB"/>
    <w:rsid w:val="00F4048E"/>
    <w:rsid w:val="00F420AD"/>
    <w:rsid w:val="00F45B72"/>
    <w:rsid w:val="00F52C89"/>
    <w:rsid w:val="00F61124"/>
    <w:rsid w:val="00F64650"/>
    <w:rsid w:val="00F72C06"/>
    <w:rsid w:val="00F73BE4"/>
    <w:rsid w:val="00FB10C5"/>
    <w:rsid w:val="00FB3243"/>
    <w:rsid w:val="00FC37E2"/>
    <w:rsid w:val="00FC5BF1"/>
    <w:rsid w:val="00FC61CF"/>
    <w:rsid w:val="00FD3E77"/>
    <w:rsid w:val="00FE6E34"/>
    <w:rsid w:val="00FF14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591C"/>
  </w:style>
  <w:style w:type="paragraph" w:styleId="berschrift1">
    <w:name w:val="heading 1"/>
    <w:basedOn w:val="Standard"/>
    <w:next w:val="Standard"/>
    <w:link w:val="berschrift1Zchn"/>
    <w:qFormat/>
    <w:rsid w:val="00D41AB9"/>
    <w:pPr>
      <w:keepNext/>
      <w:widowControl w:val="0"/>
      <w:suppressAutoHyphens/>
      <w:overflowPunct w:val="0"/>
      <w:autoSpaceDE w:val="0"/>
      <w:autoSpaceDN w:val="0"/>
      <w:adjustRightInd w:val="0"/>
      <w:spacing w:after="0" w:line="240" w:lineRule="auto"/>
      <w:textAlignment w:val="baseline"/>
      <w:outlineLvl w:val="0"/>
    </w:pPr>
    <w:rPr>
      <w:rFonts w:eastAsia="Times New Roman"/>
      <w:i/>
      <w:noProof/>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2852E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52E9"/>
    <w:rPr>
      <w:sz w:val="20"/>
      <w:szCs w:val="20"/>
    </w:rPr>
  </w:style>
  <w:style w:type="character" w:styleId="Funotenzeichen">
    <w:name w:val="footnote reference"/>
    <w:basedOn w:val="Absatz-Standardschriftart"/>
    <w:uiPriority w:val="99"/>
    <w:semiHidden/>
    <w:unhideWhenUsed/>
    <w:rsid w:val="002852E9"/>
    <w:rPr>
      <w:vertAlign w:val="superscript"/>
    </w:rPr>
  </w:style>
  <w:style w:type="paragraph" w:styleId="Kopfzeile">
    <w:name w:val="header"/>
    <w:basedOn w:val="Standard"/>
    <w:link w:val="KopfzeileZchn"/>
    <w:uiPriority w:val="99"/>
    <w:unhideWhenUsed/>
    <w:rsid w:val="00C434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34C7"/>
  </w:style>
  <w:style w:type="paragraph" w:styleId="Fuzeile">
    <w:name w:val="footer"/>
    <w:basedOn w:val="Standard"/>
    <w:link w:val="FuzeileZchn"/>
    <w:uiPriority w:val="99"/>
    <w:semiHidden/>
    <w:unhideWhenUsed/>
    <w:rsid w:val="00C434C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434C7"/>
  </w:style>
  <w:style w:type="character" w:customStyle="1" w:styleId="berschrift1Zchn">
    <w:name w:val="Überschrift 1 Zchn"/>
    <w:basedOn w:val="Absatz-Standardschriftart"/>
    <w:link w:val="berschrift1"/>
    <w:rsid w:val="00D41AB9"/>
    <w:rPr>
      <w:rFonts w:eastAsia="Times New Roman"/>
      <w:i/>
      <w:noProof/>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8157E-A4AE-4C9D-A01D-BF842178F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2763</Words>
  <Characters>17412</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2010-07-25T09:43:00Z</cp:lastPrinted>
  <dcterms:created xsi:type="dcterms:W3CDTF">2010-10-10T09:17:00Z</dcterms:created>
  <dcterms:modified xsi:type="dcterms:W3CDTF">2012-08-01T14:02:00Z</dcterms:modified>
</cp:coreProperties>
</file>