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21" w:rsidRPr="00852BF1" w:rsidRDefault="007C5897" w:rsidP="007B3F3F">
      <w:pPr>
        <w:spacing w:after="0"/>
        <w:jc w:val="both"/>
        <w:rPr>
          <w:b/>
        </w:rPr>
      </w:pPr>
      <w:bookmarkStart w:id="0" w:name="_GoBack"/>
      <w:bookmarkEnd w:id="0"/>
      <w:r w:rsidRPr="00852BF1">
        <w:rPr>
          <w:b/>
        </w:rPr>
        <w:t xml:space="preserve">(38) Kap. 13: </w:t>
      </w:r>
      <w:r w:rsidR="00982721" w:rsidRPr="00852BF1">
        <w:rPr>
          <w:b/>
        </w:rPr>
        <w:t>Die Heterogenität der Emigration</w:t>
      </w:r>
      <w:r w:rsidR="008B03BF" w:rsidRPr="00852BF1">
        <w:rPr>
          <w:b/>
        </w:rPr>
        <w:t xml:space="preserve"> – </w:t>
      </w:r>
      <w:r w:rsidR="005412F8" w:rsidRPr="00852BF1">
        <w:rPr>
          <w:b/>
        </w:rPr>
        <w:t>die Problematik unangemessener</w:t>
      </w:r>
      <w:r w:rsidR="008B03BF" w:rsidRPr="00852BF1">
        <w:rPr>
          <w:b/>
        </w:rPr>
        <w:t xml:space="preserve"> </w:t>
      </w:r>
      <w:r w:rsidR="005412F8" w:rsidRPr="00852BF1">
        <w:rPr>
          <w:b/>
        </w:rPr>
        <w:t>A</w:t>
      </w:r>
      <w:r w:rsidR="005412F8" w:rsidRPr="00852BF1">
        <w:rPr>
          <w:b/>
        </w:rPr>
        <w:t>b</w:t>
      </w:r>
      <w:r w:rsidR="005412F8" w:rsidRPr="00852BF1">
        <w:rPr>
          <w:b/>
        </w:rPr>
        <w:t xml:space="preserve">grenzungen und </w:t>
      </w:r>
      <w:r w:rsidR="008B03BF" w:rsidRPr="00852BF1">
        <w:rPr>
          <w:b/>
        </w:rPr>
        <w:t xml:space="preserve">Ausgrenzungen </w:t>
      </w:r>
    </w:p>
    <w:p w:rsidR="00CC477A" w:rsidRPr="00852BF1" w:rsidRDefault="00CC477A" w:rsidP="007B3F3F">
      <w:pPr>
        <w:spacing w:after="0"/>
        <w:jc w:val="both"/>
      </w:pPr>
    </w:p>
    <w:p w:rsidR="00F07A21" w:rsidRPr="00852BF1" w:rsidRDefault="00C74A55" w:rsidP="007B3F3F">
      <w:pPr>
        <w:spacing w:after="0"/>
        <w:jc w:val="both"/>
      </w:pPr>
      <w:r w:rsidRPr="00852BF1">
        <w:t>Die Exilforschung beschreibt die deutschsprachige Emigration mit Hilfe einer dreigegliede</w:t>
      </w:r>
      <w:r w:rsidRPr="00852BF1">
        <w:t>r</w:t>
      </w:r>
      <w:r w:rsidRPr="00852BF1">
        <w:t>ten Typologie</w:t>
      </w:r>
      <w:r w:rsidR="00D33493" w:rsidRPr="00852BF1">
        <w:t>.</w:t>
      </w:r>
      <w:r w:rsidRPr="00852BF1">
        <w:t xml:space="preserve"> </w:t>
      </w:r>
      <w:r w:rsidR="00D33493" w:rsidRPr="00852BF1">
        <w:t>S</w:t>
      </w:r>
      <w:r w:rsidRPr="00852BF1">
        <w:t xml:space="preserve">ie spricht von der </w:t>
      </w:r>
      <w:r w:rsidRPr="00852BF1">
        <w:rPr>
          <w:i/>
        </w:rPr>
        <w:t>jüdische</w:t>
      </w:r>
      <w:r w:rsidR="00DF3B4E" w:rsidRPr="00852BF1">
        <w:rPr>
          <w:i/>
        </w:rPr>
        <w:t>n</w:t>
      </w:r>
      <w:r w:rsidRPr="00852BF1">
        <w:t xml:space="preserve">, </w:t>
      </w:r>
      <w:r w:rsidR="00DF3B4E" w:rsidRPr="00852BF1">
        <w:t>d</w:t>
      </w:r>
      <w:r w:rsidRPr="00852BF1">
        <w:t>e</w:t>
      </w:r>
      <w:r w:rsidR="00DF3B4E" w:rsidRPr="00852BF1">
        <w:t>r</w:t>
      </w:r>
      <w:r w:rsidRPr="00852BF1">
        <w:t xml:space="preserve"> </w:t>
      </w:r>
      <w:r w:rsidRPr="00852BF1">
        <w:rPr>
          <w:i/>
        </w:rPr>
        <w:t>politische</w:t>
      </w:r>
      <w:r w:rsidR="00DF3B4E" w:rsidRPr="00852BF1">
        <w:rPr>
          <w:i/>
        </w:rPr>
        <w:t>n</w:t>
      </w:r>
      <w:r w:rsidRPr="00852BF1">
        <w:t xml:space="preserve"> und de</w:t>
      </w:r>
      <w:r w:rsidR="00DF3B4E" w:rsidRPr="00852BF1">
        <w:t>r</w:t>
      </w:r>
      <w:r w:rsidRPr="00852BF1">
        <w:t xml:space="preserve"> </w:t>
      </w:r>
      <w:r w:rsidRPr="00852BF1">
        <w:rPr>
          <w:i/>
        </w:rPr>
        <w:t>kulturelle</w:t>
      </w:r>
      <w:r w:rsidR="00DF3B4E" w:rsidRPr="00852BF1">
        <w:rPr>
          <w:i/>
        </w:rPr>
        <w:t>n</w:t>
      </w:r>
      <w:r w:rsidRPr="00852BF1">
        <w:t xml:space="preserve"> Emigration.</w:t>
      </w:r>
      <w:r w:rsidR="00DF3B4E" w:rsidRPr="00852BF1">
        <w:rPr>
          <w:rStyle w:val="Funotenzeichen"/>
        </w:rPr>
        <w:footnoteReference w:id="1"/>
      </w:r>
      <w:r w:rsidRPr="00852BF1">
        <w:t xml:space="preserve"> </w:t>
      </w:r>
      <w:r w:rsidR="00DF3B4E" w:rsidRPr="00852BF1">
        <w:t xml:space="preserve">Diese </w:t>
      </w:r>
      <w:r w:rsidR="007032A7" w:rsidRPr="00852BF1">
        <w:t>Systematik</w:t>
      </w:r>
      <w:r w:rsidR="00DF3B4E" w:rsidRPr="00852BF1">
        <w:t xml:space="preserve"> </w:t>
      </w:r>
      <w:r w:rsidR="00087A29">
        <w:t xml:space="preserve">ist </w:t>
      </w:r>
      <w:r w:rsidR="00024CAD" w:rsidRPr="00852BF1">
        <w:t>eine Not</w:t>
      </w:r>
      <w:r w:rsidR="007864CA" w:rsidRPr="00852BF1">
        <w:t>lösung</w:t>
      </w:r>
      <w:r w:rsidR="00501957" w:rsidRPr="00852BF1">
        <w:t>:</w:t>
      </w:r>
    </w:p>
    <w:p w:rsidR="00DF3B4E" w:rsidRPr="00852BF1" w:rsidRDefault="00DF3B4E" w:rsidP="007B3F3F">
      <w:pPr>
        <w:spacing w:after="0"/>
        <w:ind w:left="1134"/>
        <w:jc w:val="both"/>
      </w:pPr>
      <w:r w:rsidRPr="00852BF1">
        <w:t>„Kategorien verfolgen den Zweck, Unterscheidungsmerkmale festzuhalten und i</w:t>
      </w:r>
      <w:r w:rsidRPr="00852BF1">
        <w:t>h</w:t>
      </w:r>
      <w:r w:rsidRPr="00852BF1">
        <w:t xml:space="preserve">re Elemente von solchen anderer Kategorien abzugrenzen. Die hier verwendeten </w:t>
      </w:r>
      <w:r w:rsidR="00D6789E" w:rsidRPr="00852BF1">
        <w:t>K</w:t>
      </w:r>
      <w:r w:rsidRPr="00852BF1">
        <w:t>ategorien der jüdischen, der politischen und der kulturellen Emigration erfüllen diesen Zweck insofern nicht, als sie sich überschneiden können und sich tatsäc</w:t>
      </w:r>
      <w:r w:rsidRPr="00852BF1">
        <w:t>h</w:t>
      </w:r>
      <w:r w:rsidRPr="00852BF1">
        <w:t xml:space="preserve">lich auch in weiten Teilen überschnitten haben. </w:t>
      </w:r>
      <w:r w:rsidR="00D6789E" w:rsidRPr="00852BF1">
        <w:t>Man konnte gleichzeitig aus me</w:t>
      </w:r>
      <w:r w:rsidR="00D6789E" w:rsidRPr="00852BF1">
        <w:t>h</w:t>
      </w:r>
      <w:r w:rsidR="00D6789E" w:rsidRPr="00852BF1">
        <w:t>reren Gründen verfolgt und somit zur Emigration gezwungen sein: als Person j</w:t>
      </w:r>
      <w:r w:rsidR="00D6789E" w:rsidRPr="00852BF1">
        <w:t>ü</w:t>
      </w:r>
      <w:r w:rsidR="00D6789E" w:rsidRPr="00852BF1">
        <w:t>discher Herkunft, als politischer Gegner des NS-Regimes und als Vertreter einer verfemten wissenschaftlichen Disziplin oder einer als ‚entartet‘ geltenden Kuns</w:t>
      </w:r>
      <w:r w:rsidR="00D6789E" w:rsidRPr="00852BF1">
        <w:t>t</w:t>
      </w:r>
      <w:r w:rsidR="00D6789E" w:rsidRPr="00852BF1">
        <w:t>richtung. Diese Tatsache läßt alle auf Präzision angelegten Versuche einer Quant</w:t>
      </w:r>
      <w:r w:rsidR="00D6789E" w:rsidRPr="00852BF1">
        <w:t>i</w:t>
      </w:r>
      <w:r w:rsidR="00D6789E" w:rsidRPr="00852BF1">
        <w:t>fizierung der einzelnen Kategoiren fragwürdig erscheinen, zumal in jedem Einze</w:t>
      </w:r>
      <w:r w:rsidR="00D6789E" w:rsidRPr="00852BF1">
        <w:t>l</w:t>
      </w:r>
      <w:r w:rsidR="00D6789E" w:rsidRPr="00852BF1">
        <w:t>falle die Fluchtgründe sich überlagerten und somit individuell unterschieden, w</w:t>
      </w:r>
      <w:r w:rsidR="00D6789E" w:rsidRPr="00852BF1">
        <w:t>o</w:t>
      </w:r>
      <w:r w:rsidR="00D6789E" w:rsidRPr="00852BF1">
        <w:t>bei die subjektive Selbsteinschätzung der eigenen Lage nicht immer mit dem Grad der tatsächlichen Gefährdung übereinstimmte.“</w:t>
      </w:r>
      <w:r w:rsidR="00D6789E" w:rsidRPr="00852BF1">
        <w:rPr>
          <w:rStyle w:val="Funotenzeichen"/>
        </w:rPr>
        <w:footnoteReference w:id="2"/>
      </w:r>
    </w:p>
    <w:p w:rsidR="0094486C" w:rsidRDefault="00501957" w:rsidP="007B3F3F">
      <w:pPr>
        <w:spacing w:after="0"/>
        <w:jc w:val="both"/>
      </w:pPr>
      <w:r w:rsidRPr="00852BF1">
        <w:t xml:space="preserve">Für den </w:t>
      </w:r>
      <w:r w:rsidR="005412F8" w:rsidRPr="00852BF1">
        <w:t xml:space="preserve">Sozial- und Kulturhistoriker Étienne François </w:t>
      </w:r>
      <w:r w:rsidRPr="00852BF1">
        <w:t>stellt sich der Sachverhalt zwar ko</w:t>
      </w:r>
      <w:r w:rsidRPr="00852BF1">
        <w:t>m</w:t>
      </w:r>
      <w:r w:rsidRPr="00852BF1">
        <w:t xml:space="preserve">plex, insgesamt </w:t>
      </w:r>
      <w:r w:rsidR="007864CA" w:rsidRPr="00852BF1">
        <w:t>aber</w:t>
      </w:r>
      <w:r w:rsidRPr="00852BF1">
        <w:t xml:space="preserve"> übersichtlicher dar</w:t>
      </w:r>
      <w:r w:rsidR="0094486C">
        <w:t>:</w:t>
      </w:r>
      <w:r w:rsidRPr="00852BF1">
        <w:t xml:space="preserve"> </w:t>
      </w:r>
    </w:p>
    <w:p w:rsidR="0094486C" w:rsidRPr="00852BF1" w:rsidRDefault="0094486C" w:rsidP="007B3F3F">
      <w:pPr>
        <w:spacing w:after="0"/>
        <w:ind w:left="1134"/>
        <w:jc w:val="both"/>
      </w:pPr>
      <w:r w:rsidRPr="00852BF1">
        <w:t>„Gleich nach der Machtergreifung durch die Nazis verließen zehntausende deu</w:t>
      </w:r>
      <w:r w:rsidRPr="00852BF1">
        <w:t>t</w:t>
      </w:r>
      <w:r w:rsidRPr="00852BF1">
        <w:t>sche jüdische Bürger und Juden aus Osteuropa Deutschland, weil sie vom nati</w:t>
      </w:r>
      <w:r w:rsidRPr="00852BF1">
        <w:t>o</w:t>
      </w:r>
      <w:r w:rsidRPr="00852BF1">
        <w:t>nalsozialistischen Antisemitismus direkt betroffen waren oder sich – zu Recht – von ihm bedroht fühlten. Für sie bildete Frankreich als Land der Menschenrechte und insbesondere Paris als kosmopolitische Weltstadt das erste Zufluchtsziel. In diesen Jahren war Paris nicht nur ein Zentrum der politischen und intellektuellen Emigration, sondern auch ein Sammelpunkt zahlreicher jüdischer Flüchtlinge: zwischen 1933 und 1939/40 lebten in Paris kontinuierlich mindestens 10 000 von ihnen, mehrheitlich aus Berlin kommend.“</w:t>
      </w:r>
      <w:r w:rsidRPr="00852BF1">
        <w:rPr>
          <w:rStyle w:val="Funotenzeichen"/>
        </w:rPr>
        <w:footnoteReference w:id="3"/>
      </w:r>
      <w:r w:rsidRPr="00852BF1">
        <w:t xml:space="preserve"> </w:t>
      </w:r>
    </w:p>
    <w:p w:rsidR="00501957" w:rsidRPr="00852BF1" w:rsidRDefault="007864CA" w:rsidP="007B3F3F">
      <w:pPr>
        <w:spacing w:after="0"/>
        <w:jc w:val="both"/>
      </w:pPr>
      <w:r w:rsidRPr="00852BF1">
        <w:t xml:space="preserve">Die Emigration wird </w:t>
      </w:r>
      <w:r w:rsidRPr="00852BF1">
        <w:rPr>
          <w:i/>
        </w:rPr>
        <w:t>als ein</w:t>
      </w:r>
      <w:r w:rsidRPr="00852BF1">
        <w:t xml:space="preserve"> </w:t>
      </w:r>
      <w:r w:rsidRPr="00852BF1">
        <w:rPr>
          <w:i/>
        </w:rPr>
        <w:t>einheitlicher Vorgang</w:t>
      </w:r>
      <w:r w:rsidRPr="00852BF1">
        <w:t xml:space="preserve"> </w:t>
      </w:r>
      <w:r w:rsidR="0094486C">
        <w:t>verstand</w:t>
      </w:r>
      <w:r w:rsidRPr="00852BF1">
        <w:t>en. Étienne François spricht d</w:t>
      </w:r>
      <w:r w:rsidRPr="00852BF1">
        <w:t>a</w:t>
      </w:r>
      <w:r w:rsidRPr="00852BF1">
        <w:t xml:space="preserve">von, dass die Flüchtlinge vom nationalsozialistischen Antisemitismus </w:t>
      </w:r>
      <w:r w:rsidRPr="00852BF1">
        <w:rPr>
          <w:i/>
        </w:rPr>
        <w:t>„direkt betroffen w</w:t>
      </w:r>
      <w:r w:rsidRPr="00852BF1">
        <w:rPr>
          <w:i/>
        </w:rPr>
        <w:t>a</w:t>
      </w:r>
      <w:r w:rsidRPr="00852BF1">
        <w:rPr>
          <w:i/>
        </w:rPr>
        <w:t>ren“</w:t>
      </w:r>
      <w:r w:rsidRPr="00852BF1">
        <w:t xml:space="preserve"> oder „sich – zu Recht – von ihm bedroht </w:t>
      </w:r>
      <w:r w:rsidRPr="00852BF1">
        <w:rPr>
          <w:i/>
        </w:rPr>
        <w:t>fühlten</w:t>
      </w:r>
      <w:r w:rsidRPr="00852BF1">
        <w:t>“. Er vermeidet damit die peinliche und lebensfremde Kasuistik, auf den Grad der Bedrohung, den Zeitpunkt der Flucht und den St</w:t>
      </w:r>
      <w:r w:rsidRPr="00852BF1">
        <w:t>a</w:t>
      </w:r>
      <w:r w:rsidRPr="00852BF1">
        <w:t xml:space="preserve">tus der Flüchtlinge einzugehen: </w:t>
      </w:r>
      <w:r w:rsidR="0094486C">
        <w:t xml:space="preserve">also </w:t>
      </w:r>
      <w:r w:rsidR="00392A38" w:rsidRPr="00852BF1">
        <w:t>zwischen „politischen“ und „unpolitischen“ Emigranten zu unterscheiden bzw.</w:t>
      </w:r>
      <w:r w:rsidRPr="00852BF1">
        <w:t xml:space="preserve"> nach Maß</w:t>
      </w:r>
      <w:r w:rsidR="00392A38" w:rsidRPr="00852BF1">
        <w:t>gabe</w:t>
      </w:r>
      <w:r w:rsidRPr="00852BF1">
        <w:t xml:space="preserve"> der </w:t>
      </w:r>
      <w:r w:rsidR="00392A38" w:rsidRPr="00852BF1">
        <w:t>„</w:t>
      </w:r>
      <w:r w:rsidRPr="00852BF1">
        <w:t>Rassentheorie</w:t>
      </w:r>
      <w:r w:rsidR="00392A38" w:rsidRPr="00852BF1">
        <w:t>“</w:t>
      </w:r>
      <w:r w:rsidRPr="00852BF1">
        <w:t xml:space="preserve"> </w:t>
      </w:r>
      <w:r w:rsidR="00392A38" w:rsidRPr="00852BF1">
        <w:t>zwischen</w:t>
      </w:r>
      <w:r w:rsidR="00A75F05" w:rsidRPr="00852BF1">
        <w:t xml:space="preserve"> „Ariern“,</w:t>
      </w:r>
      <w:r w:rsidR="00392A38" w:rsidRPr="00852BF1">
        <w:t xml:space="preserve"> „Juden“, „Halbjuden“ und „in Mischehe lebenden Flüchtlingen“. </w:t>
      </w:r>
      <w:r w:rsidR="00501957" w:rsidRPr="00852BF1">
        <w:t xml:space="preserve">Der Blick ist auf die </w:t>
      </w:r>
      <w:r w:rsidR="00024CAD" w:rsidRPr="00852BF1">
        <w:rPr>
          <w:i/>
        </w:rPr>
        <w:t>Fluchtbewegung</w:t>
      </w:r>
      <w:r w:rsidR="00024CAD" w:rsidRPr="00852BF1">
        <w:t xml:space="preserve"> </w:t>
      </w:r>
      <w:r w:rsidR="00392A38" w:rsidRPr="00852BF1">
        <w:t>und auf</w:t>
      </w:r>
      <w:r w:rsidR="00501957" w:rsidRPr="00852BF1">
        <w:t xml:space="preserve"> den</w:t>
      </w:r>
      <w:r w:rsidR="00A0498A" w:rsidRPr="00852BF1">
        <w:t xml:space="preserve"> </w:t>
      </w:r>
      <w:r w:rsidR="00024CAD" w:rsidRPr="00852BF1">
        <w:rPr>
          <w:i/>
        </w:rPr>
        <w:t>Ziel</w:t>
      </w:r>
      <w:r w:rsidR="00A0498A" w:rsidRPr="00852BF1">
        <w:rPr>
          <w:i/>
        </w:rPr>
        <w:t>ort</w:t>
      </w:r>
      <w:r w:rsidR="00392A38" w:rsidRPr="00852BF1">
        <w:t xml:space="preserve"> gerichtet</w:t>
      </w:r>
      <w:r w:rsidR="00501957" w:rsidRPr="00852BF1">
        <w:t>:</w:t>
      </w:r>
      <w:r w:rsidR="00B258EC" w:rsidRPr="00852BF1">
        <w:t xml:space="preserve"> </w:t>
      </w:r>
      <w:r w:rsidR="00392A38" w:rsidRPr="00852BF1">
        <w:t>auf</w:t>
      </w:r>
      <w:r w:rsidR="00392A38" w:rsidRPr="00852BF1">
        <w:rPr>
          <w:i/>
        </w:rPr>
        <w:t xml:space="preserve"> </w:t>
      </w:r>
      <w:r w:rsidR="00392A38" w:rsidRPr="00852BF1">
        <w:t xml:space="preserve">Paris, die „kosmopolitische Weltstadt“, und </w:t>
      </w:r>
      <w:r w:rsidR="00B258EC" w:rsidRPr="00852BF1">
        <w:t xml:space="preserve">auf </w:t>
      </w:r>
      <w:r w:rsidR="00392A38" w:rsidRPr="00852BF1">
        <w:t>das Au</w:t>
      </w:r>
      <w:r w:rsidR="00392A38" w:rsidRPr="00852BF1">
        <w:t>f</w:t>
      </w:r>
      <w:r w:rsidR="00392A38" w:rsidRPr="00852BF1">
        <w:t xml:space="preserve">nahmeland: </w:t>
      </w:r>
      <w:r w:rsidR="00B258EC" w:rsidRPr="00852BF1">
        <w:t>Frankreich, das „Land der Menschenrechte“</w:t>
      </w:r>
      <w:r w:rsidR="00501957" w:rsidRPr="00852BF1">
        <w:t>.</w:t>
      </w:r>
      <w:r w:rsidR="00024CAD" w:rsidRPr="00852BF1">
        <w:t xml:space="preserve"> </w:t>
      </w:r>
      <w:r w:rsidR="00D85D4D" w:rsidRPr="00852BF1">
        <w:t>Étienne François</w:t>
      </w:r>
      <w:r w:rsidR="00501957" w:rsidRPr="00852BF1">
        <w:t xml:space="preserve"> weist darauf hin, dass es sich bei den Flüchtlingen </w:t>
      </w:r>
      <w:r w:rsidR="00501957" w:rsidRPr="00852BF1">
        <w:rPr>
          <w:i/>
        </w:rPr>
        <w:t>um „deutsche jüdische Bürger“</w:t>
      </w:r>
      <w:r w:rsidR="00501957" w:rsidRPr="00852BF1">
        <w:t xml:space="preserve"> handelt – </w:t>
      </w:r>
      <w:r w:rsidR="00A75F05" w:rsidRPr="00852BF1">
        <w:t>wenn der Staat</w:t>
      </w:r>
      <w:r w:rsidR="00392A38" w:rsidRPr="00852BF1">
        <w:t xml:space="preserve"> </w:t>
      </w:r>
      <w:r w:rsidR="00392A38" w:rsidRPr="00852BF1">
        <w:lastRenderedPageBreak/>
        <w:t>Bürger zur Flucht nötig</w:t>
      </w:r>
      <w:r w:rsidR="00A75F05" w:rsidRPr="00852BF1">
        <w:t>t</w:t>
      </w:r>
      <w:r w:rsidR="00392A38" w:rsidRPr="00852BF1">
        <w:t xml:space="preserve">, </w:t>
      </w:r>
      <w:r w:rsidR="00A75F05" w:rsidRPr="00852BF1">
        <w:t xml:space="preserve">verstößt er </w:t>
      </w:r>
      <w:r w:rsidR="00392A38" w:rsidRPr="00852BF1">
        <w:t xml:space="preserve">gegen das Staatsbürgerrecht </w:t>
      </w:r>
      <w:r w:rsidR="00501957" w:rsidRPr="00852BF1">
        <w:t xml:space="preserve">– , aber auch </w:t>
      </w:r>
      <w:r w:rsidR="00501957" w:rsidRPr="00852BF1">
        <w:rPr>
          <w:i/>
        </w:rPr>
        <w:t>um „Juden aus Osteuropa“</w:t>
      </w:r>
      <w:r w:rsidR="00501957" w:rsidRPr="00852BF1">
        <w:t xml:space="preserve">. </w:t>
      </w:r>
      <w:r w:rsidR="00D85D4D" w:rsidRPr="00852BF1">
        <w:t xml:space="preserve">Diese Ergänzung ist wichtig, denn die ostjüdischen Emigranten </w:t>
      </w:r>
      <w:r w:rsidR="0032150B" w:rsidRPr="00852BF1">
        <w:t xml:space="preserve">finden in der Forschung zumeist nur </w:t>
      </w:r>
      <w:r w:rsidR="00D85D4D" w:rsidRPr="00852BF1">
        <w:t xml:space="preserve">in </w:t>
      </w:r>
      <w:r w:rsidR="0032150B" w:rsidRPr="00852BF1">
        <w:t>Einzel</w:t>
      </w:r>
      <w:r w:rsidR="00DC107B" w:rsidRPr="00852BF1">
        <w:t>fällen</w:t>
      </w:r>
      <w:r w:rsidR="00D85D4D" w:rsidRPr="00852BF1">
        <w:t xml:space="preserve"> Erwähnung.</w:t>
      </w:r>
      <w:r w:rsidR="00D85D4D" w:rsidRPr="00852BF1">
        <w:rPr>
          <w:rStyle w:val="Funotenzeichen"/>
        </w:rPr>
        <w:t xml:space="preserve"> </w:t>
      </w:r>
      <w:r w:rsidR="00D85D4D" w:rsidRPr="00852BF1">
        <w:rPr>
          <w:rStyle w:val="Funotenzeichen"/>
        </w:rPr>
        <w:footnoteReference w:id="4"/>
      </w:r>
      <w:r w:rsidR="00D85D4D" w:rsidRPr="00852BF1">
        <w:t xml:space="preserve"> </w:t>
      </w:r>
    </w:p>
    <w:p w:rsidR="00A75F05" w:rsidRPr="00852BF1" w:rsidRDefault="00A75F05" w:rsidP="007B3F3F">
      <w:pPr>
        <w:spacing w:after="0"/>
        <w:jc w:val="both"/>
      </w:pPr>
    </w:p>
    <w:p w:rsidR="00D74AD9" w:rsidRPr="00852BF1" w:rsidRDefault="00D74AD9" w:rsidP="007F1088">
      <w:pPr>
        <w:spacing w:after="0"/>
        <w:jc w:val="center"/>
        <w:rPr>
          <w:b/>
        </w:rPr>
      </w:pPr>
      <w:r w:rsidRPr="00852BF1">
        <w:rPr>
          <w:b/>
        </w:rPr>
        <w:t>*</w:t>
      </w:r>
    </w:p>
    <w:p w:rsidR="00D74AD9" w:rsidRPr="00852BF1" w:rsidRDefault="00D74AD9" w:rsidP="007B3F3F">
      <w:pPr>
        <w:spacing w:after="0"/>
        <w:jc w:val="both"/>
      </w:pPr>
    </w:p>
    <w:p w:rsidR="00A75F05" w:rsidRPr="00852BF1" w:rsidRDefault="003E51E7" w:rsidP="007B3F3F">
      <w:pPr>
        <w:spacing w:after="0"/>
        <w:jc w:val="both"/>
      </w:pPr>
      <w:r w:rsidRPr="00852BF1">
        <w:tab/>
      </w:r>
      <w:r w:rsidR="00CE5956" w:rsidRPr="00852BF1">
        <w:t xml:space="preserve">Wie </w:t>
      </w:r>
      <w:r w:rsidR="00A75F05" w:rsidRPr="00852BF1">
        <w:t>schwierig</w:t>
      </w:r>
      <w:r w:rsidR="00313583" w:rsidRPr="00852BF1">
        <w:t xml:space="preserve"> jeder Versuch</w:t>
      </w:r>
      <w:r w:rsidR="00CE5956" w:rsidRPr="00852BF1">
        <w:t xml:space="preserve"> </w:t>
      </w:r>
      <w:r w:rsidR="00A75F05" w:rsidRPr="00852BF1">
        <w:t xml:space="preserve">ist, </w:t>
      </w:r>
      <w:r w:rsidR="00CE5956" w:rsidRPr="00852BF1">
        <w:t>eine</w:t>
      </w:r>
      <w:r w:rsidR="00A75F05" w:rsidRPr="00852BF1">
        <w:t xml:space="preserve"> Einzelperson und ihr Schicksal in das übliche</w:t>
      </w:r>
      <w:r w:rsidR="00CE5956" w:rsidRPr="00852BF1">
        <w:t xml:space="preserve"> Kategori</w:t>
      </w:r>
      <w:r w:rsidR="00A75F05" w:rsidRPr="00852BF1">
        <w:t>ensystem einzupassen</w:t>
      </w:r>
      <w:r w:rsidR="00313583" w:rsidRPr="00852BF1">
        <w:t xml:space="preserve">, wird </w:t>
      </w:r>
      <w:r w:rsidR="00CE5956" w:rsidRPr="00852BF1">
        <w:t>in exemplarischer Form</w:t>
      </w:r>
      <w:r w:rsidR="008B03BF" w:rsidRPr="00852BF1">
        <w:t xml:space="preserve"> </w:t>
      </w:r>
      <w:r w:rsidR="00CE5956" w:rsidRPr="00852BF1">
        <w:t>a</w:t>
      </w:r>
      <w:r w:rsidR="00157F12" w:rsidRPr="00852BF1">
        <w:t>m Beispiel</w:t>
      </w:r>
      <w:r w:rsidR="00CE5956" w:rsidRPr="00852BF1">
        <w:t xml:space="preserve"> </w:t>
      </w:r>
      <w:r w:rsidR="00157F12" w:rsidRPr="00852BF1">
        <w:t xml:space="preserve">von </w:t>
      </w:r>
      <w:r w:rsidR="00313583" w:rsidRPr="00852BF1">
        <w:t>Joseph Rovan</w:t>
      </w:r>
      <w:r w:rsidR="00313583" w:rsidRPr="00852BF1">
        <w:rPr>
          <w:rStyle w:val="Funotenzeichen"/>
        </w:rPr>
        <w:footnoteReference w:id="5"/>
      </w:r>
      <w:r w:rsidR="00313583" w:rsidRPr="00852BF1">
        <w:t xml:space="preserve"> deutlich. </w:t>
      </w:r>
      <w:r w:rsidR="00A75F05" w:rsidRPr="00852BF1">
        <w:t>Rovan, Widerstandskämpfer, deutschlandpolitischer Berater mehrerer französischer Präsidenten, Wissenschaftler und Publizist</w:t>
      </w:r>
      <w:r w:rsidR="0094486C">
        <w:t>,</w:t>
      </w:r>
      <w:r w:rsidR="00A75F05" w:rsidRPr="00852BF1">
        <w:t xml:space="preserve"> ist in Frankreich </w:t>
      </w:r>
      <w:r w:rsidR="0094486C">
        <w:t xml:space="preserve">auch heute noch </w:t>
      </w:r>
      <w:r w:rsidR="00A75F05" w:rsidRPr="00852BF1">
        <w:t>eine bekannt</w:t>
      </w:r>
      <w:r w:rsidR="000B5DB1" w:rsidRPr="00852BF1">
        <w:t>e Persönlichkeit</w:t>
      </w:r>
      <w:r w:rsidR="00A75F05" w:rsidRPr="00852BF1">
        <w:t>.</w:t>
      </w:r>
      <w:r w:rsidR="000B5DB1" w:rsidRPr="00852BF1">
        <w:rPr>
          <w:rStyle w:val="Funotenzeichen"/>
        </w:rPr>
        <w:footnoteReference w:id="6"/>
      </w:r>
      <w:r w:rsidR="000B5DB1" w:rsidRPr="00852BF1">
        <w:t xml:space="preserve"> </w:t>
      </w:r>
    </w:p>
    <w:p w:rsidR="00DB382E" w:rsidRPr="00852BF1" w:rsidRDefault="00A75F05" w:rsidP="007B3F3F">
      <w:pPr>
        <w:spacing w:after="0"/>
        <w:jc w:val="both"/>
      </w:pPr>
      <w:r w:rsidRPr="00852BF1">
        <w:tab/>
      </w:r>
      <w:r w:rsidR="000B5DB1" w:rsidRPr="00852BF1">
        <w:t>Joseph Rovan wurde am 25. Juli 1918 in München geboren; er starb am 27. Juli 2004 in Saint-Christophe-les-Gorges. Sein</w:t>
      </w:r>
      <w:r w:rsidR="00313583" w:rsidRPr="00852BF1">
        <w:t xml:space="preserve"> Geburtsname lautet Joseph Rosenthal. </w:t>
      </w:r>
      <w:r w:rsidR="00157F12" w:rsidRPr="00852BF1">
        <w:t>Seine Eltern</w:t>
      </w:r>
      <w:r w:rsidR="005867ED" w:rsidRPr="00852BF1">
        <w:t xml:space="preserve"> stammt</w:t>
      </w:r>
      <w:r w:rsidR="00157F12" w:rsidRPr="00852BF1">
        <w:t>en</w:t>
      </w:r>
      <w:r w:rsidR="005867ED" w:rsidRPr="00852BF1">
        <w:t xml:space="preserve"> aus gut situierten</w:t>
      </w:r>
      <w:r w:rsidR="00157F12" w:rsidRPr="00852BF1">
        <w:t>, assimilierten</w:t>
      </w:r>
      <w:r w:rsidR="005867ED" w:rsidRPr="00852BF1">
        <w:t xml:space="preserve"> jüdischen Familie</w:t>
      </w:r>
      <w:r w:rsidR="00157F12" w:rsidRPr="00852BF1">
        <w:t>n.</w:t>
      </w:r>
      <w:r w:rsidR="005867ED" w:rsidRPr="00852BF1">
        <w:t xml:space="preserve"> </w:t>
      </w:r>
      <w:r w:rsidR="000B5DB1" w:rsidRPr="00852BF1">
        <w:t>1</w:t>
      </w:r>
      <w:r w:rsidR="00C03E52" w:rsidRPr="00852BF1">
        <w:t>933 emigriert zuerst der Vater</w:t>
      </w:r>
      <w:r w:rsidR="000B5DB1" w:rsidRPr="00852BF1">
        <w:t>.</w:t>
      </w:r>
      <w:r w:rsidR="00C03E52" w:rsidRPr="00852BF1">
        <w:t xml:space="preserve"> </w:t>
      </w:r>
      <w:r w:rsidR="000B5DB1" w:rsidRPr="00852BF1">
        <w:t>I</w:t>
      </w:r>
      <w:r w:rsidR="00C03E52" w:rsidRPr="00852BF1">
        <w:t xml:space="preserve">hm folgt noch im selben Jahr die </w:t>
      </w:r>
      <w:r w:rsidR="000B5DB1" w:rsidRPr="00852BF1">
        <w:t>Ehefrau</w:t>
      </w:r>
      <w:r w:rsidR="00C03E52" w:rsidRPr="00852BF1">
        <w:t xml:space="preserve">, </w:t>
      </w:r>
      <w:r w:rsidR="005867ED" w:rsidRPr="00852BF1">
        <w:t xml:space="preserve">1934 </w:t>
      </w:r>
      <w:r w:rsidR="000B5DB1" w:rsidRPr="00852BF1">
        <w:t>dann</w:t>
      </w:r>
      <w:r w:rsidR="00C03E52" w:rsidRPr="00852BF1">
        <w:t xml:space="preserve"> </w:t>
      </w:r>
      <w:r w:rsidR="00157F12" w:rsidRPr="00852BF1">
        <w:t>de</w:t>
      </w:r>
      <w:r w:rsidR="006B6423" w:rsidRPr="00852BF1">
        <w:t>r Sohn</w:t>
      </w:r>
      <w:r w:rsidR="00C03E52" w:rsidRPr="00852BF1">
        <w:t xml:space="preserve">. </w:t>
      </w:r>
      <w:r w:rsidR="00157F12" w:rsidRPr="00852BF1">
        <w:t xml:space="preserve">Joseph </w:t>
      </w:r>
      <w:r w:rsidR="006B6423" w:rsidRPr="00852BF1">
        <w:t>Rovan</w:t>
      </w:r>
      <w:r w:rsidR="005867ED" w:rsidRPr="00852BF1">
        <w:t xml:space="preserve"> besucht in Paris das Lycée Carnot und </w:t>
      </w:r>
      <w:r w:rsidR="000B5DB1" w:rsidRPr="00852BF1">
        <w:t>die</w:t>
      </w:r>
      <w:r w:rsidR="005867ED" w:rsidRPr="00852BF1">
        <w:t xml:space="preserve"> Hochschule für politische Wissenschaften</w:t>
      </w:r>
      <w:r w:rsidR="00C03E52" w:rsidRPr="00852BF1">
        <w:t>. 1940 w</w:t>
      </w:r>
      <w:r w:rsidR="005070EA" w:rsidRPr="00852BF1">
        <w:t>i</w:t>
      </w:r>
      <w:r w:rsidR="00C03E52" w:rsidRPr="00852BF1">
        <w:t>rd er im Vélodrome d’Hiver in</w:t>
      </w:r>
      <w:r w:rsidR="005070EA" w:rsidRPr="00852BF1">
        <w:t>haft</w:t>
      </w:r>
      <w:r w:rsidR="00C03E52" w:rsidRPr="00852BF1">
        <w:t>iert, an</w:t>
      </w:r>
      <w:r w:rsidR="007221A7" w:rsidRPr="00852BF1">
        <w:t>schließend</w:t>
      </w:r>
      <w:r w:rsidR="00C03E52" w:rsidRPr="00852BF1">
        <w:t xml:space="preserve"> als Préstataire dienstverpflichtet.</w:t>
      </w:r>
      <w:r w:rsidR="00B56CB9" w:rsidRPr="00852BF1">
        <w:t xml:space="preserve"> Nach seiner Entlassung lernt er </w:t>
      </w:r>
      <w:r w:rsidR="005070EA" w:rsidRPr="00852BF1">
        <w:t xml:space="preserve">durch Zufall </w:t>
      </w:r>
      <w:r w:rsidR="00B56CB9" w:rsidRPr="00852BF1">
        <w:t>in der Freien Zone</w:t>
      </w:r>
      <w:r w:rsidR="00AB543C" w:rsidRPr="00852BF1">
        <w:t>, also in dem von deutschen Truppen</w:t>
      </w:r>
      <w:r w:rsidR="004E710C" w:rsidRPr="00852BF1">
        <w:t xml:space="preserve"> </w:t>
      </w:r>
      <w:r w:rsidR="00AB543C" w:rsidRPr="00852BF1">
        <w:t xml:space="preserve">nicht besetzten Teil Frankreichs, </w:t>
      </w:r>
      <w:r w:rsidR="00B56CB9" w:rsidRPr="00852BF1">
        <w:t xml:space="preserve">Jean-Marie Soutou kennen, den Redaktionssekretär der Zeitschrift </w:t>
      </w:r>
      <w:r w:rsidR="00B56CB9" w:rsidRPr="00852BF1">
        <w:rPr>
          <w:i/>
        </w:rPr>
        <w:t>Esprit</w:t>
      </w:r>
      <w:r w:rsidR="00B56CB9" w:rsidRPr="00852BF1">
        <w:t xml:space="preserve">. </w:t>
      </w:r>
      <w:r w:rsidR="005070EA" w:rsidRPr="00852BF1">
        <w:t>Durch Soutou entwickeln sich im</w:t>
      </w:r>
      <w:r w:rsidR="004F6738" w:rsidRPr="00852BF1">
        <w:t xml:space="preserve"> Frühjahr 1941 erste Kontakte zur „France libre“, der Résistance-Organisation de Gaulles. </w:t>
      </w:r>
      <w:r w:rsidR="002941F7" w:rsidRPr="00852BF1">
        <w:t>Rovan</w:t>
      </w:r>
      <w:r w:rsidR="00F83E15" w:rsidRPr="00852BF1">
        <w:t xml:space="preserve"> wird ein Aktivist der Résistance. </w:t>
      </w:r>
      <w:r w:rsidR="004F6738" w:rsidRPr="00852BF1">
        <w:t xml:space="preserve">1942 erhält </w:t>
      </w:r>
      <w:r w:rsidR="00F83E15" w:rsidRPr="00852BF1">
        <w:t xml:space="preserve">er </w:t>
      </w:r>
      <w:r w:rsidR="004F6738" w:rsidRPr="00852BF1">
        <w:t>einen Pass</w:t>
      </w:r>
      <w:r w:rsidR="005867ED" w:rsidRPr="00852BF1">
        <w:t xml:space="preserve"> </w:t>
      </w:r>
      <w:r w:rsidR="004F6738" w:rsidRPr="00852BF1">
        <w:t>mit falschem Namen</w:t>
      </w:r>
      <w:r w:rsidR="007263D2" w:rsidRPr="00852BF1">
        <w:t>; im August geht er in die Illegalität</w:t>
      </w:r>
      <w:r w:rsidR="004F6738" w:rsidRPr="00852BF1">
        <w:t xml:space="preserve">. </w:t>
      </w:r>
      <w:r w:rsidR="002941F7" w:rsidRPr="00852BF1">
        <w:t>I</w:t>
      </w:r>
      <w:r w:rsidR="006B6423" w:rsidRPr="00852BF1">
        <w:t xml:space="preserve">m Februar 1944 </w:t>
      </w:r>
      <w:r w:rsidR="002941F7" w:rsidRPr="00852BF1">
        <w:t xml:space="preserve">wird er </w:t>
      </w:r>
      <w:r w:rsidR="006B6423" w:rsidRPr="00852BF1">
        <w:t>festgenomme</w:t>
      </w:r>
      <w:r w:rsidR="00332D31" w:rsidRPr="00852BF1">
        <w:t>n</w:t>
      </w:r>
      <w:r w:rsidR="007221A7" w:rsidRPr="00852BF1">
        <w:t xml:space="preserve">, </w:t>
      </w:r>
      <w:r w:rsidR="00332D31" w:rsidRPr="00852BF1">
        <w:t>in Fresnes, dem Pariser Gestapo-Gefängnis</w:t>
      </w:r>
      <w:r w:rsidR="004E710C" w:rsidRPr="00852BF1">
        <w:t>,</w:t>
      </w:r>
      <w:r w:rsidR="00332D31" w:rsidRPr="00852BF1">
        <w:t xml:space="preserve"> inhaftiert</w:t>
      </w:r>
      <w:r w:rsidR="007221A7" w:rsidRPr="00852BF1">
        <w:t xml:space="preserve"> und</w:t>
      </w:r>
      <w:r w:rsidR="00332D31" w:rsidRPr="00852BF1">
        <w:t xml:space="preserve"> Anfang Juli 1944 nach Dachau</w:t>
      </w:r>
      <w:r w:rsidR="005070EA" w:rsidRPr="00852BF1">
        <w:t>, in das Konzentrationslager,</w:t>
      </w:r>
      <w:r w:rsidR="00332D31" w:rsidRPr="00852BF1">
        <w:t xml:space="preserve"> deportiert</w:t>
      </w:r>
      <w:r w:rsidR="006B6423" w:rsidRPr="00852BF1">
        <w:t xml:space="preserve">. </w:t>
      </w:r>
      <w:r w:rsidR="005070EA" w:rsidRPr="00852BF1">
        <w:t xml:space="preserve">Beim Eintreffen des Zuges </w:t>
      </w:r>
      <w:r w:rsidR="00090527" w:rsidRPr="00852BF1">
        <w:t>leben</w:t>
      </w:r>
      <w:r w:rsidR="005070EA" w:rsidRPr="00852BF1">
        <w:t xml:space="preserve"> v</w:t>
      </w:r>
      <w:r w:rsidR="00332D31" w:rsidRPr="00852BF1">
        <w:t xml:space="preserve">on den 2 500 </w:t>
      </w:r>
      <w:r w:rsidR="00AB543C" w:rsidRPr="00852BF1">
        <w:t>Häftling</w:t>
      </w:r>
      <w:r w:rsidR="00332D31" w:rsidRPr="00852BF1">
        <w:t xml:space="preserve">en </w:t>
      </w:r>
      <w:r w:rsidR="00090527" w:rsidRPr="00852BF1">
        <w:t>nur noch 1 6</w:t>
      </w:r>
      <w:r w:rsidR="00332D31" w:rsidRPr="00852BF1">
        <w:t>00. I</w:t>
      </w:r>
      <w:r w:rsidR="00F83E15" w:rsidRPr="00852BF1">
        <w:t>m KZ</w:t>
      </w:r>
      <w:r w:rsidR="00332D31" w:rsidRPr="00852BF1">
        <w:t xml:space="preserve"> </w:t>
      </w:r>
      <w:r w:rsidR="00090527" w:rsidRPr="00852BF1">
        <w:t>begegne</w:t>
      </w:r>
      <w:r w:rsidR="00332D31" w:rsidRPr="00852BF1">
        <w:t xml:space="preserve">t Rovan Edmond Michelet, </w:t>
      </w:r>
      <w:r w:rsidR="00DD7D31" w:rsidRPr="00852BF1">
        <w:t>später M</w:t>
      </w:r>
      <w:r w:rsidR="00DD7D31" w:rsidRPr="00852BF1">
        <w:t>i</w:t>
      </w:r>
      <w:r w:rsidR="00DD7D31" w:rsidRPr="00852BF1">
        <w:t>nister in der ersten Regierung de Gaulles</w:t>
      </w:r>
      <w:r w:rsidR="00F83E15" w:rsidRPr="00852BF1">
        <w:t xml:space="preserve"> und </w:t>
      </w:r>
      <w:r w:rsidR="008B7001" w:rsidRPr="00852BF1">
        <w:t xml:space="preserve">in dieser Funktion </w:t>
      </w:r>
      <w:r w:rsidR="00F83E15" w:rsidRPr="00852BF1">
        <w:t>politischer Förderer von R</w:t>
      </w:r>
      <w:r w:rsidR="00F83E15" w:rsidRPr="00852BF1">
        <w:t>o</w:t>
      </w:r>
      <w:r w:rsidR="00F83E15" w:rsidRPr="00852BF1">
        <w:t>van</w:t>
      </w:r>
      <w:r w:rsidR="00DD7D31" w:rsidRPr="00852BF1">
        <w:t xml:space="preserve">. </w:t>
      </w:r>
      <w:r w:rsidR="005070EA" w:rsidRPr="00852BF1">
        <w:t>Am 29. April wird das KZ von der amerikanischen Armee befreit.</w:t>
      </w:r>
      <w:r w:rsidR="00DB382E" w:rsidRPr="00852BF1">
        <w:rPr>
          <w:rStyle w:val="Funotenzeichen"/>
        </w:rPr>
        <w:footnoteReference w:id="7"/>
      </w:r>
    </w:p>
    <w:p w:rsidR="00416EF5" w:rsidRPr="00852BF1" w:rsidRDefault="00416EF5" w:rsidP="007B3F3F">
      <w:pPr>
        <w:spacing w:after="0"/>
        <w:jc w:val="both"/>
      </w:pPr>
    </w:p>
    <w:p w:rsidR="007C5897" w:rsidRPr="00852BF1" w:rsidRDefault="005070EA" w:rsidP="007B3F3F">
      <w:pPr>
        <w:spacing w:after="0"/>
        <w:jc w:val="both"/>
      </w:pPr>
      <w:r w:rsidRPr="00852BF1">
        <w:tab/>
      </w:r>
      <w:r w:rsidR="00090527" w:rsidRPr="00852BF1">
        <w:t xml:space="preserve">Erich Rosenthal, Rovans Vater, </w:t>
      </w:r>
      <w:r w:rsidR="00DB382E" w:rsidRPr="00852BF1">
        <w:t xml:space="preserve">entschied sich unmittelbar nach dem 1. April 1933, dem „Judenboykotttag“, Deutschland zu verlassen und über die Schweiz nach Frankreich zu emigrieren. </w:t>
      </w:r>
      <w:r w:rsidR="00AB543C" w:rsidRPr="00852BF1">
        <w:t xml:space="preserve">Joseph Rovan betont, dass es sich um </w:t>
      </w:r>
      <w:r w:rsidR="00DB382E" w:rsidRPr="00852BF1">
        <w:t>eine</w:t>
      </w:r>
      <w:r w:rsidR="00DB382E" w:rsidRPr="00852BF1">
        <w:rPr>
          <w:i/>
        </w:rPr>
        <w:t xml:space="preserve"> politische Entscheidung</w:t>
      </w:r>
      <w:r w:rsidR="00AB543C" w:rsidRPr="00852BF1">
        <w:t xml:space="preserve"> gehandelt h</w:t>
      </w:r>
      <w:r w:rsidR="00AB543C" w:rsidRPr="00852BF1">
        <w:t>a</w:t>
      </w:r>
      <w:r w:rsidR="00AB543C" w:rsidRPr="00852BF1">
        <w:t>be</w:t>
      </w:r>
      <w:r w:rsidR="00700282" w:rsidRPr="00852BF1">
        <w:t>:</w:t>
      </w:r>
      <w:r w:rsidR="00DB382E" w:rsidRPr="00852BF1">
        <w:t xml:space="preserve"> </w:t>
      </w:r>
      <w:r w:rsidR="00AB543C" w:rsidRPr="00852BF1">
        <w:t>um die</w:t>
      </w:r>
      <w:r w:rsidR="00DB382E" w:rsidRPr="00852BF1">
        <w:t xml:space="preserve"> Reaktion auf die Zumutung, </w:t>
      </w:r>
      <w:r w:rsidR="00AB543C" w:rsidRPr="00852BF1">
        <w:t>sich den politischen und rassistischen Vorgaben des Regimes zu unterwerfen</w:t>
      </w:r>
      <w:r w:rsidR="00700282" w:rsidRPr="00852BF1">
        <w:t>:</w:t>
      </w:r>
      <w:r w:rsidR="00DB382E" w:rsidRPr="00852BF1">
        <w:t xml:space="preserve"> </w:t>
      </w:r>
    </w:p>
    <w:p w:rsidR="00373926" w:rsidRPr="00852BF1" w:rsidRDefault="00373926" w:rsidP="007B3F3F">
      <w:pPr>
        <w:spacing w:after="0"/>
        <w:ind w:left="1134"/>
        <w:jc w:val="both"/>
      </w:pPr>
      <w:r w:rsidRPr="00852BF1">
        <w:t>„Nur wenige Wochen nach Hitlers Machtergreifung, am Tag, als der Boykott g</w:t>
      </w:r>
      <w:r w:rsidRPr="00852BF1">
        <w:t>e</w:t>
      </w:r>
      <w:r w:rsidRPr="00852BF1">
        <w:t xml:space="preserve">gen jüdische Geschäfte verfügt wurde, sagte er zu mir: ‚Ich bleibe nicht einen Tag </w:t>
      </w:r>
      <w:r w:rsidRPr="00852BF1">
        <w:lastRenderedPageBreak/>
        <w:t xml:space="preserve">länger in einem Heimatland, </w:t>
      </w:r>
      <w:r w:rsidRPr="00852BF1">
        <w:rPr>
          <w:i/>
        </w:rPr>
        <w:t>das einer Bande von Mördern in die Hände gefallen ist‘</w:t>
      </w:r>
      <w:r w:rsidRPr="00852BF1">
        <w:t>, und am darauffolgenden Tag reiste er in die Schweiz ab.“</w:t>
      </w:r>
      <w:r w:rsidRPr="00852BF1">
        <w:rPr>
          <w:rStyle w:val="Funotenzeichen"/>
        </w:rPr>
        <w:footnoteReference w:id="8"/>
      </w:r>
    </w:p>
    <w:p w:rsidR="00AB543C" w:rsidRPr="00852BF1" w:rsidRDefault="00AB543C" w:rsidP="007B3F3F">
      <w:pPr>
        <w:spacing w:after="0"/>
        <w:jc w:val="both"/>
      </w:pPr>
      <w:r w:rsidRPr="00852BF1">
        <w:t xml:space="preserve">Da </w:t>
      </w:r>
      <w:r w:rsidR="00700282" w:rsidRPr="00852BF1">
        <w:t>in</w:t>
      </w:r>
      <w:r w:rsidR="00416EF5" w:rsidRPr="00852BF1">
        <w:t xml:space="preserve"> </w:t>
      </w:r>
      <w:r w:rsidR="00700282" w:rsidRPr="00852BF1">
        <w:t xml:space="preserve">einer Diktatur dem Staatsbürger nahezu jede Möglichkeit </w:t>
      </w:r>
      <w:r w:rsidR="00416EF5" w:rsidRPr="00852BF1">
        <w:t>eines öffentlichen Protests</w:t>
      </w:r>
      <w:r w:rsidRPr="00852BF1">
        <w:t xml:space="preserve"> </w:t>
      </w:r>
      <w:r w:rsidR="00700282" w:rsidRPr="00852BF1">
        <w:t>genommen ist</w:t>
      </w:r>
      <w:r w:rsidR="00416EF5" w:rsidRPr="00852BF1">
        <w:t xml:space="preserve">, </w:t>
      </w:r>
      <w:r w:rsidR="00700282" w:rsidRPr="00852BF1">
        <w:t>ist</w:t>
      </w:r>
      <w:r w:rsidR="00416EF5" w:rsidRPr="00852BF1">
        <w:t xml:space="preserve"> Entscheidung</w:t>
      </w:r>
      <w:r w:rsidR="00700282" w:rsidRPr="00852BF1">
        <w:t>, mit diesem Staat zu brechen und zu emigrieren</w:t>
      </w:r>
      <w:r w:rsidR="00792C3A" w:rsidRPr="00852BF1">
        <w:t>,</w:t>
      </w:r>
      <w:r w:rsidR="00416EF5" w:rsidRPr="00852BF1">
        <w:t xml:space="preserve"> ein </w:t>
      </w:r>
      <w:r w:rsidR="00416EF5" w:rsidRPr="00852BF1">
        <w:rPr>
          <w:i/>
        </w:rPr>
        <w:t>polit</w:t>
      </w:r>
      <w:r w:rsidR="00416EF5" w:rsidRPr="00852BF1">
        <w:rPr>
          <w:i/>
        </w:rPr>
        <w:t>i</w:t>
      </w:r>
      <w:r w:rsidR="00416EF5" w:rsidRPr="00852BF1">
        <w:rPr>
          <w:i/>
        </w:rPr>
        <w:t>scher Entschluss</w:t>
      </w:r>
      <w:r w:rsidR="00792C3A" w:rsidRPr="00852BF1">
        <w:rPr>
          <w:i/>
        </w:rPr>
        <w:t xml:space="preserve"> </w:t>
      </w:r>
      <w:r w:rsidR="00792C3A" w:rsidRPr="00852BF1">
        <w:t>wie der Entschluss zum</w:t>
      </w:r>
      <w:r w:rsidR="00700282" w:rsidRPr="00852BF1">
        <w:t xml:space="preserve"> aktiven Widerstand.</w:t>
      </w:r>
      <w:r w:rsidR="00792C3A" w:rsidRPr="00852BF1">
        <w:t xml:space="preserve"> </w:t>
      </w:r>
    </w:p>
    <w:p w:rsidR="00DF6982" w:rsidRPr="00852BF1" w:rsidRDefault="00416EF5" w:rsidP="007B3F3F">
      <w:pPr>
        <w:spacing w:after="0"/>
        <w:jc w:val="both"/>
      </w:pPr>
      <w:r w:rsidRPr="00852BF1">
        <w:tab/>
      </w:r>
      <w:r w:rsidR="00F83E15" w:rsidRPr="00852BF1">
        <w:t>Die Familie</w:t>
      </w:r>
      <w:r w:rsidR="001B19C0" w:rsidRPr="00852BF1">
        <w:t xml:space="preserve"> Rosenthal</w:t>
      </w:r>
      <w:r w:rsidR="00F83E15" w:rsidRPr="00852BF1">
        <w:t xml:space="preserve"> war Teil des deutschen Groß- bzw. Besitzbürgertums</w:t>
      </w:r>
      <w:r w:rsidR="001B19C0" w:rsidRPr="00852BF1">
        <w:t>. Rovans Großvater</w:t>
      </w:r>
      <w:r w:rsidR="00AC5D5A" w:rsidRPr="00852BF1">
        <w:t xml:space="preserve">, Joseph Rosenthal, war als junger Mann Mitte des 19. Jahrhunderts </w:t>
      </w:r>
      <w:r w:rsidR="00B61D85" w:rsidRPr="00852BF1">
        <w:t>aus</w:t>
      </w:r>
      <w:r w:rsidR="00AC5D5A" w:rsidRPr="00852BF1">
        <w:t xml:space="preserve"> Westpre</w:t>
      </w:r>
      <w:r w:rsidR="00AC5D5A" w:rsidRPr="00852BF1">
        <w:t>u</w:t>
      </w:r>
      <w:r w:rsidR="00AC5D5A" w:rsidRPr="00852BF1">
        <w:t xml:space="preserve">ßen </w:t>
      </w:r>
      <w:r w:rsidR="002B4488" w:rsidRPr="00852BF1">
        <w:t xml:space="preserve">(Posen) </w:t>
      </w:r>
      <w:r w:rsidR="00AC5D5A" w:rsidRPr="00852BF1">
        <w:t xml:space="preserve">nach Berlin übergesiedelt und dort zu </w:t>
      </w:r>
      <w:r w:rsidR="00EB5E10" w:rsidRPr="00852BF1">
        <w:t>beträchtlichem Reichtum</w:t>
      </w:r>
      <w:r w:rsidR="00AC5D5A" w:rsidRPr="00852BF1">
        <w:t xml:space="preserve"> gelangt. </w:t>
      </w:r>
      <w:r w:rsidR="001B19C0" w:rsidRPr="00852BF1">
        <w:t xml:space="preserve">1879 </w:t>
      </w:r>
      <w:r w:rsidR="005F6240" w:rsidRPr="00852BF1">
        <w:t>erwarb er</w:t>
      </w:r>
      <w:r w:rsidR="001B19C0" w:rsidRPr="00852BF1">
        <w:t xml:space="preserve"> die ehemalige Villa des Marschalls Roon. </w:t>
      </w:r>
      <w:r w:rsidR="002B4488" w:rsidRPr="00852BF1">
        <w:t xml:space="preserve">Sein politisches Verständnis war geprägt von den Traditionen </w:t>
      </w:r>
      <w:r w:rsidR="00DF6982" w:rsidRPr="00852BF1">
        <w:t xml:space="preserve">der </w:t>
      </w:r>
      <w:r w:rsidR="00792C3A" w:rsidRPr="00852BF1">
        <w:t xml:space="preserve">Revolution von </w:t>
      </w:r>
      <w:r w:rsidR="00DF6982" w:rsidRPr="00852BF1">
        <w:t xml:space="preserve">1848. </w:t>
      </w:r>
      <w:r w:rsidR="00E0337A" w:rsidRPr="00852BF1">
        <w:t xml:space="preserve">Dieses Bewusstsein wirkte sich bis in Details </w:t>
      </w:r>
      <w:r w:rsidR="00BF6F3F" w:rsidRPr="00852BF1">
        <w:t>d</w:t>
      </w:r>
      <w:r w:rsidR="00E0337A" w:rsidRPr="00852BF1">
        <w:t xml:space="preserve">es persönlichen Verhaltens aus. </w:t>
      </w:r>
      <w:r w:rsidR="00792C3A" w:rsidRPr="00852BF1">
        <w:t xml:space="preserve">Peinlich vermied er bei seinen Kutschenfahrten durch den Berliner Tiergarten </w:t>
      </w:r>
      <w:r w:rsidR="00BF6F3F" w:rsidRPr="00852BF1">
        <w:t>de</w:t>
      </w:r>
      <w:r w:rsidR="005F6240" w:rsidRPr="00852BF1">
        <w:t>n</w:t>
      </w:r>
      <w:r w:rsidR="00BF6F3F" w:rsidRPr="00852BF1">
        <w:t xml:space="preserve"> B</w:t>
      </w:r>
      <w:r w:rsidR="005F6240" w:rsidRPr="00852BF1">
        <w:t>lickkontakt</w:t>
      </w:r>
      <w:r w:rsidR="00BF6F3F" w:rsidRPr="00852BF1">
        <w:t xml:space="preserve"> mit </w:t>
      </w:r>
      <w:r w:rsidR="00792C3A" w:rsidRPr="00852BF1">
        <w:t xml:space="preserve">Bismarck, weil er ihn in diesem Fall hätte </w:t>
      </w:r>
      <w:r w:rsidR="00DF6982" w:rsidRPr="00852BF1">
        <w:t>grüßen müssen</w:t>
      </w:r>
      <w:r w:rsidR="00E0337A" w:rsidRPr="00852BF1">
        <w:t xml:space="preserve">. </w:t>
      </w:r>
      <w:r w:rsidR="00DF6982" w:rsidRPr="00852BF1">
        <w:t xml:space="preserve">Für ihn war Bismarck </w:t>
      </w:r>
      <w:r w:rsidR="005F6240" w:rsidRPr="00852BF1">
        <w:t>zwar</w:t>
      </w:r>
      <w:r w:rsidR="002B4488" w:rsidRPr="00852BF1">
        <w:t xml:space="preserve"> der Reichskanzler, </w:t>
      </w:r>
      <w:r w:rsidR="005F6240" w:rsidRPr="00852BF1">
        <w:t>aber zugleich auch</w:t>
      </w:r>
      <w:r w:rsidR="002B4488" w:rsidRPr="00852BF1">
        <w:t xml:space="preserve"> </w:t>
      </w:r>
      <w:r w:rsidR="00BF6F3F" w:rsidRPr="00852BF1">
        <w:t xml:space="preserve">der prominenteste </w:t>
      </w:r>
      <w:r w:rsidR="00DF6982" w:rsidRPr="00852BF1">
        <w:t>Gegner des Liberalismus.</w:t>
      </w:r>
      <w:r w:rsidR="00DF6982" w:rsidRPr="00852BF1">
        <w:rPr>
          <w:rStyle w:val="Funotenzeichen"/>
        </w:rPr>
        <w:footnoteReference w:id="9"/>
      </w:r>
    </w:p>
    <w:p w:rsidR="00B84F94" w:rsidRPr="00852BF1" w:rsidRDefault="00EB5E10" w:rsidP="007B3F3F">
      <w:pPr>
        <w:spacing w:after="0"/>
        <w:jc w:val="both"/>
      </w:pPr>
      <w:r w:rsidRPr="00852BF1">
        <w:tab/>
      </w:r>
      <w:r w:rsidR="006009A3" w:rsidRPr="00852BF1">
        <w:t>Joseph Rosenthals Sohn Erich</w:t>
      </w:r>
      <w:r w:rsidR="00E0337A" w:rsidRPr="00852BF1">
        <w:t xml:space="preserve"> </w:t>
      </w:r>
      <w:r w:rsidR="005F6240" w:rsidRPr="00852BF1">
        <w:t xml:space="preserve">war – wie Joseph Rovan berichtet – zwar „keineswegs ein Nationalist, aber sein Leben war tief in das nationale Umfeld eingebettet“. </w:t>
      </w:r>
      <w:r w:rsidR="00E0337A" w:rsidRPr="00852BF1">
        <w:t xml:space="preserve">Preußen war </w:t>
      </w:r>
      <w:r w:rsidR="00B84F94" w:rsidRPr="00852BF1">
        <w:t xml:space="preserve">für ihn </w:t>
      </w:r>
      <w:r w:rsidR="00E0337A" w:rsidRPr="00852BF1">
        <w:t xml:space="preserve">das Ideal </w:t>
      </w:r>
      <w:r w:rsidR="00B84F94" w:rsidRPr="00852BF1">
        <w:t>d</w:t>
      </w:r>
      <w:r w:rsidR="00E0337A" w:rsidRPr="00852BF1">
        <w:t>es geordneten Verwaltungsstaa</w:t>
      </w:r>
      <w:r w:rsidR="00B84F94" w:rsidRPr="00852BF1">
        <w:t>ts. Basis des friedlichen, geregelten Zusa</w:t>
      </w:r>
      <w:r w:rsidR="00B84F94" w:rsidRPr="00852BF1">
        <w:t>m</w:t>
      </w:r>
      <w:r w:rsidR="00B84F94" w:rsidRPr="00852BF1">
        <w:t>menlebens war die hier herrschende Rechtssicherheit:</w:t>
      </w:r>
    </w:p>
    <w:p w:rsidR="00AC7065" w:rsidRPr="00852BF1" w:rsidRDefault="00AC7065" w:rsidP="007B3F3F">
      <w:pPr>
        <w:spacing w:after="0"/>
        <w:ind w:left="1134"/>
        <w:jc w:val="both"/>
      </w:pPr>
      <w:r w:rsidRPr="00852BF1">
        <w:t>„Mein Vater liebte Deutschland, sein Land und sein Volk, das Deutschland der großen Dichter und Denker des 18. Und 19. Jahrhunderts, von denen viele für die Befreiung des menschlichen Geistes gekämpft hatten. Er und seine Freunde lie</w:t>
      </w:r>
      <w:r w:rsidRPr="00852BF1">
        <w:t>b</w:t>
      </w:r>
      <w:r w:rsidRPr="00852BF1">
        <w:t>ten auch ihr Preu</w:t>
      </w:r>
      <w:r w:rsidR="00E81E38" w:rsidRPr="00852BF1">
        <w:t>ß</w:t>
      </w:r>
      <w:r w:rsidRPr="00852BF1">
        <w:t>en, den Rechtsstaat, den humanistischen Staat, den Staat der unbestechlichen Verwaltung, in dem ihre Familien ihren Weg hatten machen kö</w:t>
      </w:r>
      <w:r w:rsidRPr="00852BF1">
        <w:t>n</w:t>
      </w:r>
      <w:r w:rsidRPr="00852BF1">
        <w:t>nen.“</w:t>
      </w:r>
      <w:r w:rsidRPr="00852BF1">
        <w:rPr>
          <w:rStyle w:val="Funotenzeichen"/>
        </w:rPr>
        <w:footnoteReference w:id="10"/>
      </w:r>
    </w:p>
    <w:p w:rsidR="00EF04DF" w:rsidRPr="00852BF1" w:rsidRDefault="00185C3B" w:rsidP="007B3F3F">
      <w:pPr>
        <w:spacing w:after="0"/>
        <w:jc w:val="both"/>
      </w:pPr>
      <w:r w:rsidRPr="00852BF1">
        <w:t>B</w:t>
      </w:r>
      <w:r w:rsidR="00EF04DF" w:rsidRPr="00852BF1">
        <w:t xml:space="preserve">ei den Reichstagswahlen </w:t>
      </w:r>
      <w:r w:rsidRPr="00852BF1">
        <w:t xml:space="preserve">wählte </w:t>
      </w:r>
      <w:r w:rsidR="00970D98" w:rsidRPr="00852BF1">
        <w:t xml:space="preserve">Erich Rosenthal </w:t>
      </w:r>
      <w:r w:rsidR="00EF04DF" w:rsidRPr="00852BF1">
        <w:t xml:space="preserve">die Deutsche Volkspartei, </w:t>
      </w:r>
      <w:r w:rsidR="00233CC9" w:rsidRPr="00852BF1">
        <w:t>die Partei Str</w:t>
      </w:r>
      <w:r w:rsidR="00233CC9" w:rsidRPr="00852BF1">
        <w:t>e</w:t>
      </w:r>
      <w:r w:rsidR="00233CC9" w:rsidRPr="00852BF1">
        <w:t xml:space="preserve">semanns, </w:t>
      </w:r>
      <w:r w:rsidR="00EF04DF" w:rsidRPr="00852BF1">
        <w:t>ab 1929 die katholische Zentrumspartei</w:t>
      </w:r>
      <w:r w:rsidR="005136D7" w:rsidRPr="00852BF1">
        <w:t>.</w:t>
      </w:r>
      <w:r w:rsidR="00233CC9" w:rsidRPr="00852BF1">
        <w:rPr>
          <w:rStyle w:val="Funotenzeichen"/>
        </w:rPr>
        <w:footnoteReference w:id="11"/>
      </w:r>
      <w:r w:rsidR="005136D7" w:rsidRPr="00852BF1">
        <w:t xml:space="preserve"> </w:t>
      </w:r>
      <w:r w:rsidR="00970D98" w:rsidRPr="00852BF1">
        <w:t>Er verstand sich als „liberaler Patriot“.</w:t>
      </w:r>
      <w:r w:rsidR="00970D98" w:rsidRPr="00852BF1">
        <w:rPr>
          <w:rStyle w:val="Funotenzeichen"/>
        </w:rPr>
        <w:footnoteReference w:id="12"/>
      </w:r>
      <w:r w:rsidR="00F21753">
        <w:t xml:space="preserve"> Er hatte den Dr. phil. erworben, aber war beruflich Unternehmer.</w:t>
      </w:r>
    </w:p>
    <w:p w:rsidR="00AC7065" w:rsidRPr="00852BF1" w:rsidRDefault="003F08EC" w:rsidP="007B3F3F">
      <w:pPr>
        <w:spacing w:after="0"/>
        <w:jc w:val="both"/>
      </w:pPr>
      <w:r w:rsidRPr="00852BF1">
        <w:tab/>
      </w:r>
      <w:r w:rsidR="008C266C" w:rsidRPr="00852BF1">
        <w:t xml:space="preserve">Die Bindung an die jüdische Religion hatte sich </w:t>
      </w:r>
      <w:r w:rsidR="00970D98" w:rsidRPr="00852BF1">
        <w:t xml:space="preserve">innerhalb der Familie Rosenthal </w:t>
      </w:r>
      <w:r w:rsidR="008C266C" w:rsidRPr="00852BF1">
        <w:t xml:space="preserve">im Verlaufe der zweiten Hälfte des 19. Jahrhunderts </w:t>
      </w:r>
      <w:r w:rsidR="00970D98" w:rsidRPr="00852BF1">
        <w:t xml:space="preserve">bereits </w:t>
      </w:r>
      <w:r w:rsidR="008C266C" w:rsidRPr="00852BF1">
        <w:t xml:space="preserve">gelockert. </w:t>
      </w:r>
      <w:r w:rsidR="00970D98" w:rsidRPr="00852BF1">
        <w:t>D</w:t>
      </w:r>
      <w:r w:rsidR="003B180E" w:rsidRPr="00852BF1">
        <w:t>er Großvater hatte sich vom jüdischen Glauben losgesagt</w:t>
      </w:r>
      <w:r w:rsidR="008A3274">
        <w:t>,</w:t>
      </w:r>
      <w:r w:rsidR="008C266C" w:rsidRPr="00852BF1">
        <w:t xml:space="preserve"> war </w:t>
      </w:r>
      <w:r w:rsidR="00EB5E10" w:rsidRPr="00852BF1">
        <w:t xml:space="preserve">allerdings </w:t>
      </w:r>
      <w:r w:rsidR="008C266C" w:rsidRPr="00852BF1">
        <w:t>nicht konvertiert</w:t>
      </w:r>
      <w:r w:rsidR="003B180E" w:rsidRPr="00852BF1">
        <w:t xml:space="preserve">. </w:t>
      </w:r>
      <w:r w:rsidR="00EB5E10" w:rsidRPr="00852BF1">
        <w:t>Letztere</w:t>
      </w:r>
      <w:r w:rsidR="003B62FF" w:rsidRPr="00852BF1">
        <w:t xml:space="preserve">s war eine Geste des Respekts gegenüber der jüdischen Gemeinschaft. </w:t>
      </w:r>
      <w:r w:rsidR="00920B1F" w:rsidRPr="00852BF1">
        <w:t xml:space="preserve">Für </w:t>
      </w:r>
      <w:r w:rsidR="00970D98" w:rsidRPr="00852BF1">
        <w:t>seinen Sohn</w:t>
      </w:r>
      <w:r w:rsidR="003B180E" w:rsidRPr="00852BF1">
        <w:t xml:space="preserve"> </w:t>
      </w:r>
      <w:r w:rsidR="00920B1F" w:rsidRPr="00852BF1">
        <w:t>gab es bezüglich des religiösen Bekenntnisses keine Zweifel</w:t>
      </w:r>
      <w:r w:rsidR="00970D98" w:rsidRPr="00852BF1">
        <w:t>:</w:t>
      </w:r>
      <w:r w:rsidR="00920B1F" w:rsidRPr="00852BF1">
        <w:t xml:space="preserve"> </w:t>
      </w:r>
      <w:r w:rsidR="00970D98" w:rsidRPr="00852BF1">
        <w:t>Akkulturation und</w:t>
      </w:r>
      <w:r w:rsidR="00920B1F" w:rsidRPr="00852BF1">
        <w:t xml:space="preserve"> Assimilation </w:t>
      </w:r>
      <w:r w:rsidR="00970D98" w:rsidRPr="00852BF1">
        <w:t>waren für ihn Selbs</w:t>
      </w:r>
      <w:r w:rsidR="00970D98" w:rsidRPr="00852BF1">
        <w:t>t</w:t>
      </w:r>
      <w:r w:rsidR="00970D98" w:rsidRPr="00852BF1">
        <w:t>verständlichkeiten. Persönlich zog er nie in Betracht, sich in Palästina niederzulassen:</w:t>
      </w:r>
    </w:p>
    <w:p w:rsidR="007C5897" w:rsidRPr="00852BF1" w:rsidRDefault="00AC7065" w:rsidP="007B3F3F">
      <w:pPr>
        <w:spacing w:after="0"/>
        <w:ind w:left="1134"/>
        <w:jc w:val="both"/>
      </w:pPr>
      <w:r w:rsidRPr="00852BF1">
        <w:t xml:space="preserve">„Einmal sagte er zu mir: ‚Durch die Staatsgründung werden die Juden zu einem Volk wie jedes andere auch.‘ […] Nach Ansicht meines Vaters mußte ein Jude entweder weiterhin eine Existenz am Rand der Gesellschaft führen </w:t>
      </w:r>
      <w:r w:rsidR="00016A36" w:rsidRPr="00852BF1">
        <w:t>–</w:t>
      </w:r>
      <w:r w:rsidRPr="00852BF1">
        <w:t xml:space="preserve"> </w:t>
      </w:r>
      <w:r w:rsidR="00016A36" w:rsidRPr="00852BF1">
        <w:t>in Gemei</w:t>
      </w:r>
      <w:r w:rsidR="00016A36" w:rsidRPr="00852BF1">
        <w:t>n</w:t>
      </w:r>
      <w:r w:rsidR="00016A36" w:rsidRPr="00852BF1">
        <w:t xml:space="preserve">schaft mit den Menschen des Exillandes, aber ohne eins mit ihnen zu werden – oder sich zu Christus, den Fortführer der Heilsgeschichte, bekennen. […] Jesus zu </w:t>
      </w:r>
      <w:r w:rsidR="00016A36" w:rsidRPr="00852BF1">
        <w:lastRenderedPageBreak/>
        <w:t>folgen bedeutete seiner Ansicht nach für einen Juden, genauso wie für die Apo</w:t>
      </w:r>
      <w:r w:rsidR="00016A36" w:rsidRPr="00852BF1">
        <w:t>s</w:t>
      </w:r>
      <w:r w:rsidR="00016A36" w:rsidRPr="00852BF1">
        <w:t>tel, das Schicksal des ‚auserwählten‘ Volkes zu vollenden.“</w:t>
      </w:r>
      <w:r w:rsidR="00016A36" w:rsidRPr="00852BF1">
        <w:rPr>
          <w:rStyle w:val="Funotenzeichen"/>
        </w:rPr>
        <w:footnoteReference w:id="13"/>
      </w:r>
    </w:p>
    <w:p w:rsidR="00824D7B" w:rsidRPr="00852BF1" w:rsidRDefault="00970D98" w:rsidP="007B3F3F">
      <w:pPr>
        <w:spacing w:after="0"/>
        <w:jc w:val="both"/>
      </w:pPr>
      <w:r w:rsidRPr="00852BF1">
        <w:t>Erich Rosenthal verstand d</w:t>
      </w:r>
      <w:r w:rsidR="00EB5E10" w:rsidRPr="00852BF1">
        <w:t>as Christentum als</w:t>
      </w:r>
      <w:r w:rsidR="006A2541" w:rsidRPr="00852BF1">
        <w:t>o</w:t>
      </w:r>
      <w:r w:rsidR="00824D7B" w:rsidRPr="00852BF1">
        <w:t xml:space="preserve"> nicht als</w:t>
      </w:r>
      <w:r w:rsidR="006A2541" w:rsidRPr="00852BF1">
        <w:t xml:space="preserve"> </w:t>
      </w:r>
      <w:r w:rsidR="00824D7B" w:rsidRPr="00852BF1">
        <w:t xml:space="preserve">Abwendung, sondern als </w:t>
      </w:r>
      <w:r w:rsidR="006A2541" w:rsidRPr="00852BF1">
        <w:rPr>
          <w:i/>
        </w:rPr>
        <w:t>Weiterfü</w:t>
      </w:r>
      <w:r w:rsidR="006A2541" w:rsidRPr="00852BF1">
        <w:rPr>
          <w:i/>
        </w:rPr>
        <w:t>h</w:t>
      </w:r>
      <w:r w:rsidR="006A2541" w:rsidRPr="00852BF1">
        <w:rPr>
          <w:i/>
        </w:rPr>
        <w:t>rung</w:t>
      </w:r>
      <w:r w:rsidR="00824D7B" w:rsidRPr="00852BF1">
        <w:t xml:space="preserve"> der jüdischen Religion</w:t>
      </w:r>
      <w:r w:rsidR="006A2541" w:rsidRPr="00852BF1">
        <w:t xml:space="preserve">. </w:t>
      </w:r>
    </w:p>
    <w:p w:rsidR="007C5897" w:rsidRPr="00852BF1" w:rsidRDefault="00824D7B" w:rsidP="007B3F3F">
      <w:pPr>
        <w:spacing w:after="0"/>
        <w:jc w:val="both"/>
      </w:pPr>
      <w:r w:rsidRPr="00852BF1">
        <w:tab/>
      </w:r>
      <w:r w:rsidR="006A2541" w:rsidRPr="00852BF1">
        <w:t>R</w:t>
      </w:r>
      <w:r w:rsidR="00016A36" w:rsidRPr="00852BF1">
        <w:t>ovan selb</w:t>
      </w:r>
      <w:r w:rsidR="00881A42" w:rsidRPr="00852BF1">
        <w:t>er</w:t>
      </w:r>
      <w:r w:rsidR="00016A36" w:rsidRPr="00852BF1">
        <w:t xml:space="preserve"> </w:t>
      </w:r>
      <w:r w:rsidRPr="00852BF1">
        <w:t xml:space="preserve">unterscheidet zwischen seinem Verhältnis zur </w:t>
      </w:r>
      <w:r w:rsidR="006A2541" w:rsidRPr="00852BF1">
        <w:t>jüdischen Religion</w:t>
      </w:r>
      <w:r w:rsidRPr="00852BF1">
        <w:t xml:space="preserve"> und seiner Solidarität mit der jüdischen Gemeinschaft</w:t>
      </w:r>
      <w:r w:rsidR="00016A36" w:rsidRPr="00852BF1">
        <w:t>:</w:t>
      </w:r>
    </w:p>
    <w:p w:rsidR="00016A36" w:rsidRPr="00852BF1" w:rsidRDefault="00016A36" w:rsidP="007B3F3F">
      <w:pPr>
        <w:spacing w:after="0"/>
        <w:ind w:left="1134"/>
        <w:jc w:val="both"/>
      </w:pPr>
      <w:r w:rsidRPr="00852BF1">
        <w:t>„Da ich kein Hebräisch beherrsche, weiß ich von der jüdischen Religion nicht mehr als jeder durchschnittlich gebildete französische Katholik. Ich habe auch nie die Neugier besessen, mehr darüber zu erfahren, da diese Glaubensgemeinschaft nie die meine gewesen ist, sondern mir nur von außen aufgezwungen wurde. Da ich aber das Unglück, wenn auch nicht das ganze Unglück, derjenigen geteilt h</w:t>
      </w:r>
      <w:r w:rsidRPr="00852BF1">
        <w:t>a</w:t>
      </w:r>
      <w:r w:rsidRPr="00852BF1">
        <w:t>be, die Juden geblieben sind, war es mir immer wichtig, mich nicht von ihnen zu distanzieren (außer in Dachau, wo es aber – offiziell – keine Juden gab, oder j</w:t>
      </w:r>
      <w:r w:rsidRPr="00852BF1">
        <w:t>e</w:t>
      </w:r>
      <w:r w:rsidRPr="00852BF1">
        <w:t xml:space="preserve">denfalls keine </w:t>
      </w:r>
      <w:r w:rsidRPr="00852BF1">
        <w:rPr>
          <w:i/>
        </w:rPr>
        <w:t>mehr</w:t>
      </w:r>
      <w:r w:rsidRPr="00852BF1">
        <w:t xml:space="preserve"> gab.)“</w:t>
      </w:r>
      <w:r w:rsidRPr="00852BF1">
        <w:rPr>
          <w:rStyle w:val="Funotenzeichen"/>
        </w:rPr>
        <w:footnoteReference w:id="14"/>
      </w:r>
    </w:p>
    <w:p w:rsidR="005503BF" w:rsidRDefault="00824D7B" w:rsidP="007B3F3F">
      <w:pPr>
        <w:spacing w:after="0"/>
        <w:jc w:val="both"/>
      </w:pPr>
      <w:r w:rsidRPr="00852BF1">
        <w:t>In Dachau hatte ein jüdischer Junge, der in einem Transport jüdischer Kinder neu in Dachau eingetroffen war, Rovan als „Juden“ identifiziert. Rovan verleugnete seine jüdische Absta</w:t>
      </w:r>
      <w:r w:rsidRPr="00852BF1">
        <w:t>m</w:t>
      </w:r>
      <w:r w:rsidRPr="00852BF1">
        <w:t>mung. Ihn schützt</w:t>
      </w:r>
      <w:r w:rsidR="007753B5" w:rsidRPr="00852BF1">
        <w:t>e</w:t>
      </w:r>
      <w:r w:rsidRPr="00852BF1">
        <w:t xml:space="preserve"> das Faktum, dass er nicht beschnitten </w:t>
      </w:r>
      <w:r w:rsidR="007753B5" w:rsidRPr="00852BF1">
        <w:t>war</w:t>
      </w:r>
      <w:r w:rsidRPr="00852BF1">
        <w:t>. Wäre er als Jude identifiziert worden, wäre er – Jude und Mitglied der Résistance – sofort ermordet worden.</w:t>
      </w:r>
    </w:p>
    <w:p w:rsidR="00E81E38" w:rsidRPr="00852BF1" w:rsidRDefault="005503BF" w:rsidP="007B3F3F">
      <w:pPr>
        <w:spacing w:after="0"/>
        <w:jc w:val="both"/>
      </w:pPr>
      <w:r>
        <w:tab/>
        <w:t>Über die</w:t>
      </w:r>
      <w:r w:rsidR="0058324F" w:rsidRPr="00852BF1">
        <w:t xml:space="preserve"> „Rückkehr zum Judentum“ – eine</w:t>
      </w:r>
      <w:r>
        <w:t>n</w:t>
      </w:r>
      <w:r w:rsidR="0058324F" w:rsidRPr="00852BF1">
        <w:t xml:space="preserve"> Schritt, den viele Angehörige des assim</w:t>
      </w:r>
      <w:r w:rsidR="0058324F" w:rsidRPr="00852BF1">
        <w:t>i</w:t>
      </w:r>
      <w:r w:rsidR="0058324F" w:rsidRPr="00852BF1">
        <w:t xml:space="preserve">lierten Bürgertums </w:t>
      </w:r>
      <w:r>
        <w:t xml:space="preserve">unter dem Druck des Rassenantisemitismus </w:t>
      </w:r>
      <w:r w:rsidR="0058324F" w:rsidRPr="00852BF1">
        <w:t xml:space="preserve">vollzogen – </w:t>
      </w:r>
      <w:r w:rsidR="00920B1F" w:rsidRPr="00852BF1">
        <w:t xml:space="preserve">äußert sich </w:t>
      </w:r>
      <w:r w:rsidR="00864624" w:rsidRPr="00852BF1">
        <w:t>Rovan</w:t>
      </w:r>
      <w:r w:rsidR="00920B1F" w:rsidRPr="00852BF1">
        <w:t xml:space="preserve"> in folgender Weise</w:t>
      </w:r>
      <w:r w:rsidR="00864624" w:rsidRPr="00852BF1">
        <w:t>:</w:t>
      </w:r>
    </w:p>
    <w:p w:rsidR="00864624" w:rsidRPr="00852BF1" w:rsidRDefault="00864624" w:rsidP="007B3F3F">
      <w:pPr>
        <w:spacing w:after="0"/>
        <w:ind w:left="1134"/>
        <w:jc w:val="both"/>
      </w:pPr>
      <w:r w:rsidRPr="00852BF1">
        <w:t xml:space="preserve">„Da meine Familie und ich vom Hitler-Regime verfolgt worden waren, hätte ich mich, wie viele andere von denen, die sich in genau derselben Lage befanden, der jüdischen Gemeinschaft anschließen können, in die Hitler und seine Schergen mich, zugleich mit dem damit verbundenen tragischen Los, eingliedern wollten. Da ich mich jedoch nie als Jude gesehen, gefühlt oder verstanden </w:t>
      </w:r>
      <w:r w:rsidR="004A3401" w:rsidRPr="00852BF1">
        <w:t>h</w:t>
      </w:r>
      <w:r w:rsidRPr="00852BF1">
        <w:t>abe, war meine Weigerung, mich dieser zwangsweisen Einordnung zu widersetzen, ein Teil me</w:t>
      </w:r>
      <w:r w:rsidRPr="00852BF1">
        <w:t>i</w:t>
      </w:r>
      <w:r w:rsidRPr="00852BF1">
        <w:t>nes ‚Nein‘ zu Hitler, ein Teil meines Widerstandes.“</w:t>
      </w:r>
      <w:r w:rsidRPr="00852BF1">
        <w:rPr>
          <w:rStyle w:val="Funotenzeichen"/>
        </w:rPr>
        <w:footnoteReference w:id="15"/>
      </w:r>
    </w:p>
    <w:p w:rsidR="00897C81" w:rsidRPr="00852BF1" w:rsidRDefault="0058324F" w:rsidP="007B3F3F">
      <w:pPr>
        <w:spacing w:after="0"/>
        <w:jc w:val="both"/>
      </w:pPr>
      <w:r w:rsidRPr="00852BF1">
        <w:t>Auch d</w:t>
      </w:r>
      <w:r w:rsidR="00920B1F" w:rsidRPr="00852BF1">
        <w:t>ie</w:t>
      </w:r>
      <w:r w:rsidRPr="00852BF1">
        <w:t>se</w:t>
      </w:r>
      <w:r w:rsidR="002941F7" w:rsidRPr="00852BF1">
        <w:t xml:space="preserve"> Aussage ist charakteristisch für </w:t>
      </w:r>
      <w:r w:rsidRPr="00852BF1">
        <w:t>ein</w:t>
      </w:r>
      <w:r w:rsidR="00FB787B" w:rsidRPr="00852BF1">
        <w:t xml:space="preserve"> laizistische</w:t>
      </w:r>
      <w:r w:rsidRPr="00852BF1">
        <w:t>s</w:t>
      </w:r>
      <w:r w:rsidR="00FB787B" w:rsidRPr="00852BF1">
        <w:t xml:space="preserve"> </w:t>
      </w:r>
      <w:r w:rsidR="003B62FF" w:rsidRPr="00852BF1">
        <w:t>Staatsv</w:t>
      </w:r>
      <w:r w:rsidR="00FB787B" w:rsidRPr="00852BF1">
        <w:t>erständnis</w:t>
      </w:r>
      <w:r w:rsidRPr="00852BF1">
        <w:t>. Rovan respe</w:t>
      </w:r>
      <w:r w:rsidRPr="00852BF1">
        <w:t>k</w:t>
      </w:r>
      <w:r w:rsidRPr="00852BF1">
        <w:t xml:space="preserve">tiert die Rückkehr zur jüdischen Religion. </w:t>
      </w:r>
      <w:r w:rsidRPr="00852BF1">
        <w:rPr>
          <w:i/>
        </w:rPr>
        <w:t>Für ihn selber</w:t>
      </w:r>
      <w:r w:rsidRPr="00852BF1">
        <w:t xml:space="preserve"> ist der Protest gegen die Anmaßung des Staates, sich in die Frage</w:t>
      </w:r>
      <w:r w:rsidR="00897C81" w:rsidRPr="00852BF1">
        <w:t>n</w:t>
      </w:r>
      <w:r w:rsidRPr="00852BF1">
        <w:t xml:space="preserve"> der Religion, der Abstammung oder der kulturellen Tradition, der sich seine Bürger verpflichtet fühlen, einzumischen, </w:t>
      </w:r>
      <w:r w:rsidR="005503BF" w:rsidRPr="00852BF1">
        <w:t>jedoch</w:t>
      </w:r>
      <w:r w:rsidR="005503BF" w:rsidRPr="00852BF1">
        <w:rPr>
          <w:i/>
        </w:rPr>
        <w:t xml:space="preserve"> </w:t>
      </w:r>
      <w:r w:rsidRPr="00852BF1">
        <w:rPr>
          <w:i/>
        </w:rPr>
        <w:t>wichtiger</w:t>
      </w:r>
      <w:r w:rsidR="00897C81" w:rsidRPr="00852BF1">
        <w:t>. Nur wenn der Staat dieses Neutralitätsgebot achtet, also die Rechte seiner Bürger peinlich wahrt, kann er selber vom Staatsbürger Loyalität und Beachtung der Gesetze einfordern.</w:t>
      </w:r>
    </w:p>
    <w:p w:rsidR="00897C81" w:rsidRPr="00852BF1" w:rsidRDefault="00897C81" w:rsidP="007B3F3F">
      <w:pPr>
        <w:spacing w:after="0"/>
        <w:jc w:val="both"/>
      </w:pPr>
    </w:p>
    <w:p w:rsidR="005A2DE7" w:rsidRPr="00852BF1" w:rsidRDefault="004A3401" w:rsidP="007B3F3F">
      <w:pPr>
        <w:spacing w:after="0"/>
        <w:jc w:val="both"/>
      </w:pPr>
      <w:r w:rsidRPr="00852BF1">
        <w:tab/>
      </w:r>
      <w:r w:rsidR="00214AA9" w:rsidRPr="00852BF1">
        <w:t>E</w:t>
      </w:r>
      <w:r w:rsidR="000073B5" w:rsidRPr="00852BF1">
        <w:t>rich Rosenthal</w:t>
      </w:r>
      <w:r w:rsidRPr="00852BF1">
        <w:t xml:space="preserve"> hatte </w:t>
      </w:r>
      <w:r w:rsidR="00864624" w:rsidRPr="00852BF1">
        <w:t>während des Weltkrieges sein Vermögen in Kriegsanleihen a</w:t>
      </w:r>
      <w:r w:rsidR="00864624" w:rsidRPr="00852BF1">
        <w:t>n</w:t>
      </w:r>
      <w:r w:rsidR="00864624" w:rsidRPr="00852BF1">
        <w:t>gelegt</w:t>
      </w:r>
      <w:r w:rsidR="00D74AD9" w:rsidRPr="00852BF1">
        <w:t>. Aufgrund</w:t>
      </w:r>
      <w:r w:rsidR="00E04F51" w:rsidRPr="00852BF1">
        <w:t xml:space="preserve"> der deutschen </w:t>
      </w:r>
      <w:r w:rsidR="00214AA9" w:rsidRPr="00852BF1">
        <w:t>N</w:t>
      </w:r>
      <w:r w:rsidR="00E04F51" w:rsidRPr="00852BF1">
        <w:t xml:space="preserve">iederlage </w:t>
      </w:r>
      <w:r w:rsidR="00D74AD9" w:rsidRPr="00852BF1">
        <w:t>waren sie</w:t>
      </w:r>
      <w:r w:rsidR="00101003" w:rsidRPr="00852BF1">
        <w:t xml:space="preserve"> </w:t>
      </w:r>
      <w:r w:rsidR="00E04F51" w:rsidRPr="00852BF1">
        <w:t xml:space="preserve">vollständig entwertet. </w:t>
      </w:r>
      <w:r w:rsidR="00897C81" w:rsidRPr="00852BF1">
        <w:t>1933 verfügte er ü</w:t>
      </w:r>
      <w:r w:rsidR="00101003" w:rsidRPr="00852BF1">
        <w:t xml:space="preserve">ber </w:t>
      </w:r>
      <w:r w:rsidR="00897C81" w:rsidRPr="00852BF1">
        <w:t>k</w:t>
      </w:r>
      <w:r w:rsidR="00101003" w:rsidRPr="00852BF1">
        <w:t xml:space="preserve">eine </w:t>
      </w:r>
      <w:r w:rsidR="00D74AD9" w:rsidRPr="00852BF1">
        <w:t xml:space="preserve">nennenswerten </w:t>
      </w:r>
      <w:r w:rsidR="00101003" w:rsidRPr="00852BF1">
        <w:t>finanziellen R</w:t>
      </w:r>
      <w:r w:rsidR="00897C81" w:rsidRPr="00852BF1">
        <w:t>eserven</w:t>
      </w:r>
      <w:r w:rsidR="00101003" w:rsidRPr="00852BF1">
        <w:t xml:space="preserve">. </w:t>
      </w:r>
      <w:r w:rsidR="00897C81" w:rsidRPr="00852BF1">
        <w:t>Dies erklärt, weshalb er bei seiner Ent</w:t>
      </w:r>
      <w:r w:rsidR="00C82F54" w:rsidRPr="00852BF1">
        <w:t>s</w:t>
      </w:r>
      <w:r w:rsidR="00897C81" w:rsidRPr="00852BF1">
        <w:t>ch</w:t>
      </w:r>
      <w:r w:rsidR="00C82F54" w:rsidRPr="00852BF1">
        <w:t>e</w:t>
      </w:r>
      <w:r w:rsidR="00C82F54" w:rsidRPr="00852BF1">
        <w:t>i</w:t>
      </w:r>
      <w:r w:rsidR="00C82F54" w:rsidRPr="00852BF1">
        <w:t xml:space="preserve">dung, Deutschland zu verlassen, seine Frau und seinen Sohn </w:t>
      </w:r>
      <w:r w:rsidR="00864624" w:rsidRPr="00852BF1">
        <w:t xml:space="preserve">zunächst </w:t>
      </w:r>
      <w:r w:rsidR="00C82F54" w:rsidRPr="00852BF1">
        <w:t xml:space="preserve">in Berlin </w:t>
      </w:r>
      <w:r w:rsidR="00864624" w:rsidRPr="00852BF1">
        <w:t>zurück</w:t>
      </w:r>
      <w:r w:rsidR="00C82F54" w:rsidRPr="00852BF1">
        <w:t>ließ</w:t>
      </w:r>
      <w:r w:rsidR="00864624" w:rsidRPr="00852BF1">
        <w:t xml:space="preserve">. </w:t>
      </w:r>
      <w:r w:rsidR="00101003" w:rsidRPr="00852BF1">
        <w:t>Für e</w:t>
      </w:r>
      <w:r w:rsidR="00C82F54" w:rsidRPr="00852BF1">
        <w:t>ine</w:t>
      </w:r>
      <w:r w:rsidR="00101003" w:rsidRPr="00852BF1">
        <w:t xml:space="preserve"> Emigration nach Frankreich sprach, das</w:t>
      </w:r>
      <w:r w:rsidR="00EF04DF" w:rsidRPr="00852BF1">
        <w:t>s</w:t>
      </w:r>
      <w:r w:rsidR="00227D95" w:rsidRPr="00852BF1">
        <w:t xml:space="preserve"> </w:t>
      </w:r>
      <w:r w:rsidR="004E710C" w:rsidRPr="00852BF1">
        <w:t xml:space="preserve">er Französisch </w:t>
      </w:r>
      <w:r w:rsidR="00D74AD9" w:rsidRPr="00852BF1">
        <w:t>beherrschte.</w:t>
      </w:r>
      <w:r w:rsidR="004E710C" w:rsidRPr="00852BF1">
        <w:t xml:space="preserve"> </w:t>
      </w:r>
      <w:r w:rsidR="005C63AB" w:rsidRPr="00852BF1">
        <w:t xml:space="preserve">Französisch </w:t>
      </w:r>
      <w:r w:rsidR="00101003" w:rsidRPr="00852BF1">
        <w:t>war auf dem Gymnasium</w:t>
      </w:r>
      <w:r w:rsidR="005C63AB" w:rsidRPr="00852BF1">
        <w:t xml:space="preserve"> in Berlin, das Rosenthal besucht hatte,</w:t>
      </w:r>
      <w:r w:rsidR="00101003" w:rsidRPr="00852BF1">
        <w:t xml:space="preserve"> Unterrichtssprache gewesen.</w:t>
      </w:r>
      <w:r w:rsidR="004E710C" w:rsidRPr="00852BF1">
        <w:t xml:space="preserve"> </w:t>
      </w:r>
    </w:p>
    <w:p w:rsidR="00864624" w:rsidRPr="00852BF1" w:rsidRDefault="005A2DE7" w:rsidP="007B3F3F">
      <w:pPr>
        <w:spacing w:after="0"/>
        <w:jc w:val="both"/>
      </w:pPr>
      <w:r w:rsidRPr="00852BF1">
        <w:lastRenderedPageBreak/>
        <w:tab/>
      </w:r>
      <w:r w:rsidR="00677833">
        <w:t xml:space="preserve">In Paris </w:t>
      </w:r>
      <w:r w:rsidR="00677833" w:rsidRPr="00852BF1">
        <w:t xml:space="preserve">erfolgte </w:t>
      </w:r>
      <w:r w:rsidR="00677833">
        <w:t>d</w:t>
      </w:r>
      <w:r w:rsidR="0066761D" w:rsidRPr="00852BF1">
        <w:t xml:space="preserve">er berufliche Einstieg auf nahezu unterster Ebene: als </w:t>
      </w:r>
      <w:r w:rsidR="005136D7" w:rsidRPr="00852BF1">
        <w:t>Schädlingsb</w:t>
      </w:r>
      <w:r w:rsidR="005136D7" w:rsidRPr="00852BF1">
        <w:t>e</w:t>
      </w:r>
      <w:r w:rsidR="005136D7" w:rsidRPr="00852BF1">
        <w:t>kämpf</w:t>
      </w:r>
      <w:r w:rsidR="00227D95" w:rsidRPr="00852BF1">
        <w:t>er</w:t>
      </w:r>
      <w:r w:rsidR="0066761D" w:rsidRPr="00852BF1">
        <w:t xml:space="preserve">. In Berlin hatte Erich Rosenthal zuletzt als Wirtschaftsprüfer gearbeitet: </w:t>
      </w:r>
    </w:p>
    <w:p w:rsidR="004A3401" w:rsidRPr="00852BF1" w:rsidRDefault="004A3401" w:rsidP="007B3F3F">
      <w:pPr>
        <w:spacing w:after="0"/>
        <w:ind w:left="1134"/>
        <w:jc w:val="both"/>
      </w:pPr>
      <w:r w:rsidRPr="00852BF1">
        <w:t xml:space="preserve">„Ich sehe ihn noch vor mir, wie er abends, erschöpft </w:t>
      </w:r>
      <w:r w:rsidR="005136D7" w:rsidRPr="00852BF1">
        <w:t>von der Arbeit mit seiner Mannschaft von ‚Kammerjägern‘ in den Pariser U</w:t>
      </w:r>
      <w:r w:rsidR="00EF04DF" w:rsidRPr="00852BF1">
        <w:t>n</w:t>
      </w:r>
      <w:r w:rsidR="005136D7" w:rsidRPr="00852BF1">
        <w:t>tergeschossen, nach Hause z</w:t>
      </w:r>
      <w:r w:rsidR="005136D7" w:rsidRPr="00852BF1">
        <w:t>u</w:t>
      </w:r>
      <w:r w:rsidR="005136D7" w:rsidRPr="00852BF1">
        <w:t>rückkehrte und uns halb im Ton eines Victor Hugo und halb im Ton eines Eugène Sue von seinen Entdeckungen berichtete.“</w:t>
      </w:r>
      <w:r w:rsidR="005136D7" w:rsidRPr="00852BF1">
        <w:rPr>
          <w:rStyle w:val="Funotenzeichen"/>
        </w:rPr>
        <w:footnoteReference w:id="16"/>
      </w:r>
    </w:p>
    <w:p w:rsidR="00570EA3" w:rsidRPr="00852BF1" w:rsidRDefault="00D534B2" w:rsidP="007B3F3F">
      <w:pPr>
        <w:spacing w:after="0"/>
        <w:jc w:val="both"/>
      </w:pPr>
      <w:r>
        <w:t xml:space="preserve">Für neue </w:t>
      </w:r>
      <w:r w:rsidR="00570EA3" w:rsidRPr="00852BF1">
        <w:t xml:space="preserve">Kleidung </w:t>
      </w:r>
      <w:r>
        <w:t>war kein Geld</w:t>
      </w:r>
      <w:r w:rsidR="00570EA3" w:rsidRPr="00852BF1">
        <w:t xml:space="preserve"> vorhanden:</w:t>
      </w:r>
    </w:p>
    <w:p w:rsidR="00570EA3" w:rsidRPr="00852BF1" w:rsidRDefault="00570EA3" w:rsidP="007B3F3F">
      <w:pPr>
        <w:spacing w:after="0"/>
        <w:ind w:left="1134"/>
        <w:jc w:val="both"/>
      </w:pPr>
      <w:r w:rsidRPr="00852BF1">
        <w:t>„Er [</w:t>
      </w:r>
      <w:r w:rsidR="00D534B2">
        <w:t>der</w:t>
      </w:r>
      <w:r w:rsidRPr="00852BF1">
        <w:t xml:space="preserve"> Vater] trug die abgetragene Kleidung seines Schwagers oder seiner Freunde; während des Krieges lebte er von verschiedenen Beihilfen und Unte</w:t>
      </w:r>
      <w:r w:rsidRPr="00852BF1">
        <w:t>r</w:t>
      </w:r>
      <w:r w:rsidRPr="00852BF1">
        <w:t>stützungen, der Nächstenliebe von Verwandten und reichen Freunden; er akze</w:t>
      </w:r>
      <w:r w:rsidRPr="00852BF1">
        <w:t>p</w:t>
      </w:r>
      <w:r w:rsidRPr="00852BF1">
        <w:t>tierte es, wenn man ihm ohne Umstände etwas zukommen ließ, bat aber nie d</w:t>
      </w:r>
      <w:r w:rsidRPr="00852BF1">
        <w:t>a</w:t>
      </w:r>
      <w:r w:rsidRPr="00852BF1">
        <w:t>rum.“</w:t>
      </w:r>
      <w:r w:rsidRPr="00852BF1">
        <w:rPr>
          <w:rStyle w:val="Funotenzeichen"/>
        </w:rPr>
        <w:footnoteReference w:id="17"/>
      </w:r>
    </w:p>
    <w:p w:rsidR="000B7D36" w:rsidRPr="00852BF1" w:rsidRDefault="000B7D36" w:rsidP="007B3F3F">
      <w:pPr>
        <w:spacing w:after="0"/>
        <w:jc w:val="both"/>
      </w:pPr>
      <w:r w:rsidRPr="00852BF1">
        <w:t>Die Familie Rosenthal war auf der niedrigsten Stufe der sozialen Hierarchie angelangt:</w:t>
      </w:r>
    </w:p>
    <w:p w:rsidR="00E5521A" w:rsidRPr="00852BF1" w:rsidRDefault="00E5521A" w:rsidP="007B3F3F">
      <w:pPr>
        <w:spacing w:after="0"/>
        <w:ind w:left="1134"/>
        <w:jc w:val="both"/>
      </w:pPr>
      <w:r w:rsidRPr="00852BF1">
        <w:t>„Meine Eltern wohnten in Lavallois-Perret, einem Arbeitervorort jenseits der Po</w:t>
      </w:r>
      <w:r w:rsidRPr="00852BF1">
        <w:t>r</w:t>
      </w:r>
      <w:r w:rsidRPr="00852BF1">
        <w:t>te de Champerret, in einem Hotel, das vor allem Taxifahrern und leichten Mä</w:t>
      </w:r>
      <w:r w:rsidRPr="00852BF1">
        <w:t>d</w:t>
      </w:r>
      <w:r w:rsidRPr="00852BF1">
        <w:t>chen Unterkunft gab.“</w:t>
      </w:r>
      <w:r w:rsidRPr="00852BF1">
        <w:rPr>
          <w:rStyle w:val="Funotenzeichen"/>
        </w:rPr>
        <w:footnoteReference w:id="18"/>
      </w:r>
    </w:p>
    <w:p w:rsidR="00E5521A" w:rsidRPr="00852BF1" w:rsidRDefault="00042054" w:rsidP="007B3F3F">
      <w:pPr>
        <w:spacing w:after="0"/>
        <w:jc w:val="both"/>
      </w:pPr>
      <w:r w:rsidRPr="00852BF1">
        <w:t>D</w:t>
      </w:r>
      <w:r w:rsidR="000B7D36" w:rsidRPr="00852BF1">
        <w:t xml:space="preserve">ie </w:t>
      </w:r>
      <w:r w:rsidR="00570EA3" w:rsidRPr="00852BF1">
        <w:t>Ausstattung des Zimmer</w:t>
      </w:r>
      <w:r w:rsidR="00D534B2">
        <w:t xml:space="preserve">s </w:t>
      </w:r>
      <w:r w:rsidR="00570EA3" w:rsidRPr="00852BF1">
        <w:t>war äußerst dürftig:</w:t>
      </w:r>
      <w:r w:rsidRPr="00852BF1">
        <w:t xml:space="preserve"> </w:t>
      </w:r>
    </w:p>
    <w:p w:rsidR="00E5521A" w:rsidRPr="00852BF1" w:rsidRDefault="006B3A03" w:rsidP="007B3F3F">
      <w:pPr>
        <w:spacing w:after="0"/>
        <w:ind w:left="1134"/>
        <w:jc w:val="both"/>
      </w:pPr>
      <w:r w:rsidRPr="00852BF1">
        <w:t>„Das Hôtel de l‘ Ouest war ein in den dreißiger Jahren erbautes schmuckloses G</w:t>
      </w:r>
      <w:r w:rsidRPr="00852BF1">
        <w:t>e</w:t>
      </w:r>
      <w:r w:rsidRPr="00852BF1">
        <w:t>bäude; zur Vorderseite hin gelegen befanden sich auf jedem Stockwerk etwa zehn sehr kleine Zimmer mit einem Waschraum, Waschschüssel und Bidet. Keines der Zimmer verfügte über Dusche oder Bad. Auf jeder Etage gab es Gemeinschaftst</w:t>
      </w:r>
      <w:r w:rsidRPr="00852BF1">
        <w:t>o</w:t>
      </w:r>
      <w:r w:rsidRPr="00852BF1">
        <w:t>iletten. Die Mieter konnten, wenn sie wollten, im Waschraum kochen: Unser Sp</w:t>
      </w:r>
      <w:r w:rsidRPr="00852BF1">
        <w:t>i</w:t>
      </w:r>
      <w:r w:rsidRPr="00852BF1">
        <w:t>rituskocher stand über dem Bidet.“</w:t>
      </w:r>
    </w:p>
    <w:p w:rsidR="000B7D36" w:rsidRPr="00852BF1" w:rsidRDefault="000B7D36" w:rsidP="007B3F3F">
      <w:pPr>
        <w:spacing w:after="0"/>
        <w:jc w:val="both"/>
      </w:pPr>
      <w:r w:rsidRPr="00852BF1">
        <w:t>Von Herbst 1933 bis Anfang 1939</w:t>
      </w:r>
      <w:r w:rsidR="006B3A03" w:rsidRPr="00852BF1">
        <w:t xml:space="preserve"> </w:t>
      </w:r>
      <w:r w:rsidRPr="00852BF1">
        <w:t>lebte die Familie i</w:t>
      </w:r>
      <w:r w:rsidR="00D534B2">
        <w:t xml:space="preserve">m </w:t>
      </w:r>
      <w:r w:rsidR="00D534B2" w:rsidRPr="00852BF1">
        <w:t>Hôtel de l‘ Ouest</w:t>
      </w:r>
      <w:r w:rsidR="006B3A03" w:rsidRPr="00852BF1">
        <w:t>.</w:t>
      </w:r>
      <w:r w:rsidR="007832DE" w:rsidRPr="00852BF1">
        <w:t xml:space="preserve"> </w:t>
      </w:r>
      <w:r w:rsidRPr="00852BF1">
        <w:t>1939 hatte sich die berufliche und finanzielle Situation etwas konsolidiert. Der Vater leitete jetzt ein kleines U</w:t>
      </w:r>
      <w:r w:rsidRPr="00852BF1">
        <w:t>n</w:t>
      </w:r>
      <w:r w:rsidRPr="00852BF1">
        <w:t xml:space="preserve">ternehmen für Heizkörperthermostate. </w:t>
      </w:r>
    </w:p>
    <w:p w:rsidR="000B7D36" w:rsidRPr="00852BF1" w:rsidRDefault="00570EA3" w:rsidP="007B3F3F">
      <w:pPr>
        <w:spacing w:after="0"/>
        <w:jc w:val="both"/>
      </w:pPr>
      <w:r w:rsidRPr="00852BF1">
        <w:tab/>
      </w:r>
      <w:r w:rsidR="00D534B2">
        <w:t xml:space="preserve">War Erich Rosenthal ein „politischer“, ein „unpolitischer“, möglicherweise sogar ein „Wirtschaftsemigrant“? Eine Antwort erübrigt sich. </w:t>
      </w:r>
      <w:r w:rsidRPr="00852BF1">
        <w:t xml:space="preserve">In den Berichten aus dem Bereich des Parteienexils wird immer wieder auf die nahezu verzweifelte </w:t>
      </w:r>
      <w:r w:rsidR="00071CC1" w:rsidRPr="00852BF1">
        <w:t>berufliche und finanzielle Lage</w:t>
      </w:r>
      <w:r w:rsidRPr="00852BF1">
        <w:t xml:space="preserve"> der </w:t>
      </w:r>
      <w:r w:rsidR="00071CC1" w:rsidRPr="00852BF1">
        <w:t xml:space="preserve">emigrierten Arbeiter </w:t>
      </w:r>
      <w:r w:rsidRPr="00852BF1">
        <w:t xml:space="preserve">aufmerksam gemacht. </w:t>
      </w:r>
      <w:r w:rsidR="00071CC1" w:rsidRPr="00852BF1">
        <w:t>Allzu groß war der Unterschied zur Lage der Familie Rosenthal vermutlich nicht.</w:t>
      </w:r>
      <w:r w:rsidR="00071CC1" w:rsidRPr="00852BF1">
        <w:rPr>
          <w:rStyle w:val="Funotenzeichen"/>
        </w:rPr>
        <w:footnoteReference w:id="19"/>
      </w:r>
    </w:p>
    <w:p w:rsidR="00071CC1" w:rsidRPr="00852BF1" w:rsidRDefault="00071CC1" w:rsidP="007B3F3F">
      <w:pPr>
        <w:spacing w:after="0"/>
        <w:jc w:val="both"/>
      </w:pPr>
    </w:p>
    <w:p w:rsidR="00042054" w:rsidRPr="00852BF1" w:rsidRDefault="00042054" w:rsidP="007F1088">
      <w:pPr>
        <w:spacing w:after="0"/>
        <w:jc w:val="center"/>
        <w:rPr>
          <w:b/>
        </w:rPr>
      </w:pPr>
      <w:r w:rsidRPr="00852BF1">
        <w:rPr>
          <w:b/>
        </w:rPr>
        <w:t>*</w:t>
      </w:r>
    </w:p>
    <w:p w:rsidR="00042054" w:rsidRPr="00852BF1" w:rsidRDefault="00042054" w:rsidP="007B3F3F">
      <w:pPr>
        <w:spacing w:after="0"/>
        <w:jc w:val="both"/>
      </w:pPr>
    </w:p>
    <w:p w:rsidR="00BB40AB" w:rsidRPr="00852BF1" w:rsidRDefault="004F22A3" w:rsidP="007B3F3F">
      <w:pPr>
        <w:spacing w:after="0"/>
        <w:jc w:val="both"/>
      </w:pPr>
      <w:r w:rsidRPr="00852BF1">
        <w:tab/>
        <w:t xml:space="preserve">Die Schwäche des kategorialen Systems, mit dem die Exilforschung arbeitet, </w:t>
      </w:r>
      <w:r w:rsidR="007D6AAB" w:rsidRPr="00852BF1">
        <w:t>resultier</w:t>
      </w:r>
      <w:r w:rsidRPr="00852BF1">
        <w:t xml:space="preserve">t </w:t>
      </w:r>
      <w:r w:rsidR="007D6AAB" w:rsidRPr="00852BF1">
        <w:t>aus</w:t>
      </w:r>
      <w:r w:rsidR="00CB0CA9" w:rsidRPr="00852BF1">
        <w:t xml:space="preserve"> der Dominanz </w:t>
      </w:r>
      <w:r w:rsidR="001E44F0" w:rsidRPr="00852BF1">
        <w:t xml:space="preserve">und prägenden Kraft </w:t>
      </w:r>
      <w:r w:rsidR="00CB0CA9" w:rsidRPr="00852BF1">
        <w:t>des „politische</w:t>
      </w:r>
      <w:r w:rsidR="00F21753">
        <w:t>n</w:t>
      </w:r>
      <w:r w:rsidR="00CB0CA9" w:rsidRPr="00852BF1">
        <w:t xml:space="preserve"> Exil</w:t>
      </w:r>
      <w:r w:rsidR="00F21753">
        <w:t>s</w:t>
      </w:r>
      <w:r w:rsidR="00CB0CA9" w:rsidRPr="00852BF1">
        <w:t xml:space="preserve">“. </w:t>
      </w:r>
      <w:r w:rsidR="00F21753">
        <w:t xml:space="preserve">Auch dabei </w:t>
      </w:r>
      <w:r w:rsidR="00CB0CA9" w:rsidRPr="00852BF1">
        <w:t xml:space="preserve">handelt </w:t>
      </w:r>
      <w:r w:rsidR="00F21753">
        <w:t xml:space="preserve">es </w:t>
      </w:r>
      <w:r w:rsidR="00CB0CA9" w:rsidRPr="00852BF1">
        <w:t>sich hier um eine Sammelkategorie</w:t>
      </w:r>
      <w:r w:rsidRPr="00852BF1">
        <w:t xml:space="preserve">, </w:t>
      </w:r>
      <w:r w:rsidR="00CB0CA9" w:rsidRPr="00852BF1">
        <w:t>die Sachverhalte unterschiedlichen Charakters erfasst</w:t>
      </w:r>
      <w:r w:rsidR="007D6AAB" w:rsidRPr="00852BF1">
        <w:t xml:space="preserve">: das </w:t>
      </w:r>
      <w:r w:rsidR="001F3669" w:rsidRPr="00852BF1">
        <w:t>Parteienexil</w:t>
      </w:r>
      <w:r w:rsidR="007D6AAB" w:rsidRPr="00852BF1">
        <w:t xml:space="preserve">, </w:t>
      </w:r>
      <w:r w:rsidR="00F21753">
        <w:t xml:space="preserve">das Exil von Schriftstellern und Publizisten, </w:t>
      </w:r>
      <w:r w:rsidR="007D6AAB" w:rsidRPr="00852BF1">
        <w:t>aber auch das von Einzelpersonen</w:t>
      </w:r>
      <w:r w:rsidR="00F21753">
        <w:t>. Der Orientierungspunkt sind die Exilbewegungen des 19. Jahrhunderts, dabei insbesondere</w:t>
      </w:r>
      <w:r w:rsidR="007D6AAB" w:rsidRPr="00852BF1">
        <w:t xml:space="preserve"> </w:t>
      </w:r>
      <w:r w:rsidR="007D6AAB" w:rsidRPr="00852BF1">
        <w:lastRenderedPageBreak/>
        <w:t>historische Persönlic</w:t>
      </w:r>
      <w:r w:rsidR="00984436" w:rsidRPr="00852BF1">
        <w:t>h</w:t>
      </w:r>
      <w:r w:rsidR="007D6AAB" w:rsidRPr="00852BF1">
        <w:t xml:space="preserve">keiten wie </w:t>
      </w:r>
      <w:r w:rsidR="001F3669" w:rsidRPr="00852BF1">
        <w:t xml:space="preserve">Mme. de Staël, </w:t>
      </w:r>
      <w:r w:rsidR="007D6AAB" w:rsidRPr="00852BF1">
        <w:t xml:space="preserve">Heinrich </w:t>
      </w:r>
      <w:r w:rsidR="001F3669" w:rsidRPr="00852BF1">
        <w:t>Heine, Marx</w:t>
      </w:r>
      <w:r w:rsidR="00F21753">
        <w:t xml:space="preserve"> und Engels</w:t>
      </w:r>
      <w:r w:rsidR="001F3669" w:rsidRPr="00852BF1">
        <w:t>, Victor Hugo</w:t>
      </w:r>
      <w:r w:rsidR="00AA1A27" w:rsidRPr="00852BF1">
        <w:t>,</w:t>
      </w:r>
      <w:r w:rsidR="001F3669" w:rsidRPr="00852BF1">
        <w:t xml:space="preserve"> Émile Zola. </w:t>
      </w:r>
    </w:p>
    <w:p w:rsidR="00BB40AB" w:rsidRPr="00852BF1" w:rsidRDefault="00BB40AB" w:rsidP="007B3F3F">
      <w:pPr>
        <w:spacing w:after="0"/>
        <w:jc w:val="both"/>
      </w:pPr>
      <w:r w:rsidRPr="00852BF1">
        <w:tab/>
      </w:r>
      <w:r w:rsidR="001E44F0" w:rsidRPr="00852BF1">
        <w:t xml:space="preserve">Im Kontext </w:t>
      </w:r>
      <w:r w:rsidR="00F21753">
        <w:t xml:space="preserve">der NS-Diktatur </w:t>
      </w:r>
      <w:r w:rsidR="001E44F0" w:rsidRPr="00852BF1">
        <w:t>wurd</w:t>
      </w:r>
      <w:r w:rsidR="00F2331E" w:rsidRPr="00852BF1">
        <w:t xml:space="preserve">en </w:t>
      </w:r>
      <w:r w:rsidR="001E44F0" w:rsidRPr="00852BF1">
        <w:t xml:space="preserve">„Exil“ </w:t>
      </w:r>
      <w:r w:rsidR="00F2331E" w:rsidRPr="00852BF1">
        <w:t>und</w:t>
      </w:r>
      <w:r w:rsidR="001E44F0" w:rsidRPr="00852BF1">
        <w:t xml:space="preserve"> „politische Exil“ </w:t>
      </w:r>
      <w:r w:rsidR="00F2331E" w:rsidRPr="00852BF1">
        <w:t xml:space="preserve">im Wesentlichen als Synonyme </w:t>
      </w:r>
      <w:r w:rsidR="001E44F0" w:rsidRPr="00852BF1">
        <w:t xml:space="preserve">verstanden. Das entsprach dem Selbstverständnis </w:t>
      </w:r>
      <w:r w:rsidR="00F2331E" w:rsidRPr="00852BF1">
        <w:t xml:space="preserve">sowohl </w:t>
      </w:r>
      <w:r w:rsidR="001E44F0" w:rsidRPr="00852BF1">
        <w:t>des Parteienexils</w:t>
      </w:r>
      <w:r w:rsidR="00F2331E" w:rsidRPr="00852BF1">
        <w:t xml:space="preserve"> als auch </w:t>
      </w:r>
      <w:r w:rsidR="001E44F0" w:rsidRPr="00852BF1">
        <w:t xml:space="preserve">dem der </w:t>
      </w:r>
      <w:r w:rsidR="001E44F0" w:rsidRPr="00A52F91">
        <w:t>nicht parteigebundenen</w:t>
      </w:r>
      <w:r w:rsidR="001E44F0" w:rsidRPr="00852BF1">
        <w:t xml:space="preserve"> </w:t>
      </w:r>
      <w:r w:rsidR="00A52F91">
        <w:t>Schriftsteller und Publizis</w:t>
      </w:r>
      <w:r w:rsidR="001E44F0" w:rsidRPr="00852BF1">
        <w:t xml:space="preserve">ten. Die </w:t>
      </w:r>
      <w:r w:rsidR="00F2331E" w:rsidRPr="00852BF1">
        <w:t xml:space="preserve">Gleichsetzung </w:t>
      </w:r>
      <w:r w:rsidR="001E44F0" w:rsidRPr="00852BF1">
        <w:t xml:space="preserve">hatte zur Folge, dass ein </w:t>
      </w:r>
      <w:r w:rsidR="007E727B" w:rsidRPr="00852BF1">
        <w:t xml:space="preserve">weiterer </w:t>
      </w:r>
      <w:r w:rsidR="001E44F0" w:rsidRPr="00852BF1">
        <w:t xml:space="preserve">Begriff </w:t>
      </w:r>
      <w:r w:rsidR="007E727B" w:rsidRPr="00852BF1">
        <w:t xml:space="preserve">erforderlich wurde, um die zahlenmäßig </w:t>
      </w:r>
      <w:r w:rsidR="00B724FC" w:rsidRPr="00852BF1">
        <w:t xml:space="preserve">bei weitem </w:t>
      </w:r>
      <w:r w:rsidR="007E727B" w:rsidRPr="00852BF1">
        <w:t>grö</w:t>
      </w:r>
      <w:r w:rsidR="007E727B" w:rsidRPr="00852BF1">
        <w:t>ß</w:t>
      </w:r>
      <w:r w:rsidR="007E727B" w:rsidRPr="00852BF1">
        <w:t xml:space="preserve">te Gruppe  </w:t>
      </w:r>
      <w:r w:rsidRPr="00852BF1">
        <w:t>zu erfassen</w:t>
      </w:r>
      <w:r w:rsidR="007E727B" w:rsidRPr="00852BF1">
        <w:t xml:space="preserve">: die </w:t>
      </w:r>
      <w:r w:rsidR="00A52F91" w:rsidRPr="00852BF1">
        <w:t>Emigranten</w:t>
      </w:r>
      <w:r w:rsidR="007E727B" w:rsidRPr="00852BF1">
        <w:t>, die au</w:t>
      </w:r>
      <w:r w:rsidR="00F2331E" w:rsidRPr="00852BF1">
        <w:t>fgrund</w:t>
      </w:r>
      <w:r w:rsidR="007E727B" w:rsidRPr="00852BF1">
        <w:t xml:space="preserve"> </w:t>
      </w:r>
      <w:r w:rsidR="007E727B" w:rsidRPr="00A52F91">
        <w:rPr>
          <w:i/>
        </w:rPr>
        <w:t>rassenideologisch</w:t>
      </w:r>
      <w:r w:rsidR="00F2331E" w:rsidRPr="00A52F91">
        <w:rPr>
          <w:i/>
        </w:rPr>
        <w:t xml:space="preserve"> motivierter Verfo</w:t>
      </w:r>
      <w:r w:rsidR="00F2331E" w:rsidRPr="00A52F91">
        <w:rPr>
          <w:i/>
        </w:rPr>
        <w:t>l</w:t>
      </w:r>
      <w:r w:rsidR="00F2331E" w:rsidRPr="00A52F91">
        <w:rPr>
          <w:i/>
        </w:rPr>
        <w:t>gung</w:t>
      </w:r>
      <w:r w:rsidR="007E727B" w:rsidRPr="00A52F91">
        <w:rPr>
          <w:i/>
        </w:rPr>
        <w:t xml:space="preserve"> </w:t>
      </w:r>
      <w:r w:rsidR="007E727B" w:rsidRPr="00852BF1">
        <w:t xml:space="preserve">aus Deutschland </w:t>
      </w:r>
      <w:r w:rsidR="00F2331E" w:rsidRPr="00852BF1">
        <w:t>geflohen war</w:t>
      </w:r>
      <w:r w:rsidRPr="00852BF1">
        <w:t>e</w:t>
      </w:r>
      <w:r w:rsidR="007E727B" w:rsidRPr="00852BF1">
        <w:t xml:space="preserve">n. Drei Begriffe </w:t>
      </w:r>
      <w:r w:rsidR="00F2331E" w:rsidRPr="00852BF1">
        <w:t>kamen d</w:t>
      </w:r>
      <w:r w:rsidRPr="00852BF1">
        <w:t>abei</w:t>
      </w:r>
      <w:r w:rsidR="007E727B" w:rsidRPr="00852BF1">
        <w:t xml:space="preserve"> </w:t>
      </w:r>
      <w:r w:rsidR="00F2331E" w:rsidRPr="00852BF1">
        <w:t>zur Verwendung</w:t>
      </w:r>
      <w:r w:rsidR="007E727B" w:rsidRPr="00852BF1">
        <w:t xml:space="preserve">: </w:t>
      </w:r>
      <w:r w:rsidRPr="00852BF1">
        <w:t>die B</w:t>
      </w:r>
      <w:r w:rsidRPr="00852BF1">
        <w:t>e</w:t>
      </w:r>
      <w:r w:rsidRPr="00852BF1">
        <w:t xml:space="preserve">zeichnungen </w:t>
      </w:r>
      <w:r w:rsidR="007E727B" w:rsidRPr="00852BF1">
        <w:t>„unpolitische Emigra</w:t>
      </w:r>
      <w:r w:rsidR="00F2331E" w:rsidRPr="00852BF1">
        <w:t>n</w:t>
      </w:r>
      <w:r w:rsidR="007E727B" w:rsidRPr="00852BF1">
        <w:t>t</w:t>
      </w:r>
      <w:r w:rsidR="00F2331E" w:rsidRPr="00852BF1">
        <w:t>e</w:t>
      </w:r>
      <w:r w:rsidR="007E727B" w:rsidRPr="00852BF1">
        <w:t xml:space="preserve">n“, „Wirtschaftsemigranten“ </w:t>
      </w:r>
      <w:r w:rsidRPr="00852BF1">
        <w:t>und</w:t>
      </w:r>
      <w:r w:rsidR="007E727B" w:rsidRPr="00852BF1">
        <w:t xml:space="preserve"> „jüdische Emigra</w:t>
      </w:r>
      <w:r w:rsidR="007E727B" w:rsidRPr="00852BF1">
        <w:t>n</w:t>
      </w:r>
      <w:r w:rsidR="007E727B" w:rsidRPr="00852BF1">
        <w:t>ten“.</w:t>
      </w:r>
      <w:r w:rsidR="007E727B" w:rsidRPr="00852BF1">
        <w:rPr>
          <w:rStyle w:val="Funotenzeichen"/>
        </w:rPr>
        <w:footnoteReference w:id="20"/>
      </w:r>
      <w:r w:rsidRPr="00852BF1">
        <w:t xml:space="preserve"> Bei allen drei wird </w:t>
      </w:r>
      <w:r w:rsidR="00B724FC" w:rsidRPr="00852BF1">
        <w:t>a</w:t>
      </w:r>
      <w:r w:rsidRPr="00852BF1">
        <w:t>n der sprachlichen Gestalt erkennbar, dass es sich um Oppositi</w:t>
      </w:r>
      <w:r w:rsidRPr="00852BF1">
        <w:t>o</w:t>
      </w:r>
      <w:r w:rsidRPr="00852BF1">
        <w:t xml:space="preserve">nen </w:t>
      </w:r>
      <w:r w:rsidR="00F2331E" w:rsidRPr="00852BF1">
        <w:t>bzw.</w:t>
      </w:r>
      <w:r w:rsidRPr="00852BF1">
        <w:t xml:space="preserve"> Abgrenzungen vo</w:t>
      </w:r>
      <w:r w:rsidR="00F2331E" w:rsidRPr="00852BF1">
        <w:t>m</w:t>
      </w:r>
      <w:r w:rsidRPr="00852BF1">
        <w:t xml:space="preserve"> Begriff des „politischen Exils“ handelt. </w:t>
      </w:r>
      <w:r w:rsidR="00F2331E" w:rsidRPr="00852BF1">
        <w:t xml:space="preserve">Ihnen haftet </w:t>
      </w:r>
      <w:r w:rsidRPr="00852BF1">
        <w:t xml:space="preserve">nicht nur eine bestimmte Unschärfe </w:t>
      </w:r>
      <w:r w:rsidR="00F2331E" w:rsidRPr="00852BF1">
        <w:t xml:space="preserve">an, sondern </w:t>
      </w:r>
      <w:r w:rsidRPr="00852BF1">
        <w:t xml:space="preserve">– </w:t>
      </w:r>
      <w:r w:rsidR="00B724FC" w:rsidRPr="00852BF1">
        <w:t>zumindest</w:t>
      </w:r>
      <w:r w:rsidRPr="00852BF1">
        <w:t xml:space="preserve"> unterschwellig </w:t>
      </w:r>
      <w:r w:rsidR="00B724FC" w:rsidRPr="00852BF1">
        <w:t>– a</w:t>
      </w:r>
      <w:r w:rsidRPr="00852BF1">
        <w:t>uch eine diffamierende, aus- und abgrenzende Nebenbedeutung.</w:t>
      </w:r>
      <w:r w:rsidR="00B724FC" w:rsidRPr="00852BF1">
        <w:t xml:space="preserve"> </w:t>
      </w:r>
      <w:r w:rsidR="009726AA" w:rsidRPr="00852BF1">
        <w:t xml:space="preserve">Adäquater, in der sprachlichen Form allerdings </w:t>
      </w:r>
      <w:r w:rsidR="00A52F91">
        <w:t>w</w:t>
      </w:r>
      <w:r w:rsidR="00A52F91">
        <w:t>e</w:t>
      </w:r>
      <w:r w:rsidR="00A52F91">
        <w:t xml:space="preserve">nig </w:t>
      </w:r>
      <w:r w:rsidR="009726AA" w:rsidRPr="00852BF1">
        <w:t>überzeugend, wäre ein Begriff „Pogrom-Flüchtlinge“.</w:t>
      </w:r>
      <w:r w:rsidR="00A52F91">
        <w:rPr>
          <w:rStyle w:val="Funotenzeichen"/>
        </w:rPr>
        <w:footnoteReference w:id="21"/>
      </w:r>
      <w:r w:rsidR="009726AA" w:rsidRPr="00852BF1">
        <w:t xml:space="preserve"> Ob sich jedoch Erich Rosenthal mit diesem Begriff identifiziert hätte, ist mehr als zweifelhaft. </w:t>
      </w:r>
      <w:r w:rsidR="00A52F91">
        <w:t>Vermutlich hätte ihn sein Patr</w:t>
      </w:r>
      <w:r w:rsidR="00A52F91">
        <w:t>i</w:t>
      </w:r>
      <w:r w:rsidR="00A52F91">
        <w:t xml:space="preserve">otismus daran gehindert – die irrige Meinung, dass es </w:t>
      </w:r>
      <w:r w:rsidR="009726AA" w:rsidRPr="00852BF1">
        <w:t xml:space="preserve">Pogrome </w:t>
      </w:r>
      <w:r w:rsidR="00A52F91">
        <w:t>nur</w:t>
      </w:r>
      <w:r w:rsidR="009726AA" w:rsidRPr="00852BF1">
        <w:t xml:space="preserve"> </w:t>
      </w:r>
      <w:r w:rsidR="009726AA" w:rsidRPr="00852BF1">
        <w:rPr>
          <w:i/>
        </w:rPr>
        <w:t>in Osteuropa</w:t>
      </w:r>
      <w:r w:rsidR="00A52F91" w:rsidRPr="00A52F91">
        <w:t xml:space="preserve"> </w:t>
      </w:r>
      <w:r w:rsidR="00A52F91" w:rsidRPr="00852BF1">
        <w:t>gibt</w:t>
      </w:r>
      <w:r w:rsidR="009726AA" w:rsidRPr="00852BF1">
        <w:t xml:space="preserve">, aber nicht in Deutschland. </w:t>
      </w:r>
    </w:p>
    <w:p w:rsidR="00B724FC" w:rsidRPr="00852BF1" w:rsidRDefault="00B724FC" w:rsidP="007B3F3F">
      <w:pPr>
        <w:spacing w:after="0"/>
        <w:jc w:val="both"/>
      </w:pPr>
      <w:r w:rsidRPr="00852BF1">
        <w:tab/>
      </w:r>
      <w:r w:rsidR="009726AA" w:rsidRPr="00852BF1">
        <w:t xml:space="preserve">Die Problematik des Begriffes „Pogrom“ verdeutlicht, dass an dieser Stelle </w:t>
      </w:r>
      <w:r w:rsidR="00485E3B">
        <w:t xml:space="preserve">vermutlich </w:t>
      </w:r>
      <w:r w:rsidR="009726AA" w:rsidRPr="00852BF1">
        <w:t xml:space="preserve">zwei differente historische Erfahrungshorizonte kollidieren: die ostjüdische Erfahrung der ständigen Bedrohung durch Pogrome und die westeuropäische Erfahrung </w:t>
      </w:r>
      <w:r w:rsidR="00485E3B">
        <w:t>f</w:t>
      </w:r>
      <w:r w:rsidR="0085243A" w:rsidRPr="00852BF1">
        <w:t>ortschreiten</w:t>
      </w:r>
      <w:r w:rsidR="00485E3B">
        <w:t xml:space="preserve">der </w:t>
      </w:r>
      <w:r w:rsidR="00485E3B" w:rsidRPr="00852BF1">
        <w:t>rechtliche</w:t>
      </w:r>
      <w:r w:rsidR="00485E3B">
        <w:t>r</w:t>
      </w:r>
      <w:r w:rsidR="0085243A" w:rsidRPr="00852BF1">
        <w:t xml:space="preserve"> und</w:t>
      </w:r>
      <w:r w:rsidR="00485E3B">
        <w:t xml:space="preserve"> </w:t>
      </w:r>
      <w:r w:rsidR="00485E3B" w:rsidRPr="00852BF1">
        <w:t>soziale</w:t>
      </w:r>
      <w:r w:rsidR="00485E3B">
        <w:t>r</w:t>
      </w:r>
      <w:r w:rsidR="0085243A" w:rsidRPr="00852BF1">
        <w:t xml:space="preserve"> Gleichstellung</w:t>
      </w:r>
      <w:r w:rsidR="00485E3B">
        <w:t>, also von Rechtssicherheit</w:t>
      </w:r>
      <w:r w:rsidR="0085243A" w:rsidRPr="00852BF1">
        <w:t>. Ein Großteil der „deu</w:t>
      </w:r>
      <w:r w:rsidR="0085243A" w:rsidRPr="00852BF1">
        <w:t>t</w:t>
      </w:r>
      <w:r w:rsidR="0085243A" w:rsidRPr="00852BF1">
        <w:t>schen</w:t>
      </w:r>
      <w:r w:rsidR="00485E3B">
        <w:t>“</w:t>
      </w:r>
      <w:r w:rsidR="0085243A" w:rsidRPr="00852BF1">
        <w:t xml:space="preserve"> Juden verlor </w:t>
      </w:r>
      <w:r w:rsidR="00485E3B">
        <w:t xml:space="preserve">auf diese Weise </w:t>
      </w:r>
      <w:r w:rsidR="0085243A" w:rsidRPr="00852BF1">
        <w:t xml:space="preserve">das warnende Beispiel der Pogrome von Kischinew aus dem Auge. Damals, 1903 und 1905, lösten </w:t>
      </w:r>
      <w:r w:rsidR="00937BBC" w:rsidRPr="00852BF1">
        <w:t xml:space="preserve">antisemitische Ausschreitungen zuerst ein Blutbad und anschließend eine Massenauswanderung </w:t>
      </w:r>
      <w:r w:rsidR="00D5343C" w:rsidRPr="00852BF1">
        <w:t xml:space="preserve">nach Amerika </w:t>
      </w:r>
      <w:r w:rsidR="00937BBC" w:rsidRPr="00852BF1">
        <w:t>aus. – Die Ereignisse, die sich im ersten Halbjahr 1933 in Deutschland vollzogen,</w:t>
      </w:r>
      <w:r w:rsidR="00937BBC" w:rsidRPr="00852BF1">
        <w:rPr>
          <w:rStyle w:val="Funotenzeichen"/>
        </w:rPr>
        <w:footnoteReference w:id="22"/>
      </w:r>
      <w:r w:rsidR="00937BBC" w:rsidRPr="00852BF1">
        <w:t xml:space="preserve"> ähneln</w:t>
      </w:r>
      <w:r w:rsidR="00485E3B">
        <w:t>,</w:t>
      </w:r>
      <w:r w:rsidR="00937BBC" w:rsidRPr="00852BF1">
        <w:t xml:space="preserve"> </w:t>
      </w:r>
      <w:r w:rsidR="00485E3B" w:rsidRPr="00852BF1">
        <w:t>sowohl was den Ablauf als auch die Folgen betr</w:t>
      </w:r>
      <w:r w:rsidR="00485E3B">
        <w:t>i</w:t>
      </w:r>
      <w:r w:rsidR="00485E3B" w:rsidRPr="00852BF1">
        <w:t>f</w:t>
      </w:r>
      <w:r w:rsidR="00485E3B">
        <w:t>ft,</w:t>
      </w:r>
      <w:r w:rsidR="00485E3B" w:rsidRPr="00852BF1">
        <w:t xml:space="preserve"> </w:t>
      </w:r>
      <w:r w:rsidR="00937BBC" w:rsidRPr="00852BF1">
        <w:t xml:space="preserve">den Ereignissen in Kischinew. Als „Pogrome“ wurden sie </w:t>
      </w:r>
      <w:r w:rsidR="00E63633" w:rsidRPr="00852BF1">
        <w:t xml:space="preserve">jedoch </w:t>
      </w:r>
      <w:r w:rsidR="00937BBC" w:rsidRPr="00852BF1">
        <w:t>nicht wah</w:t>
      </w:r>
      <w:r w:rsidR="00937BBC" w:rsidRPr="00852BF1">
        <w:t>r</w:t>
      </w:r>
      <w:r w:rsidR="00937BBC" w:rsidRPr="00852BF1">
        <w:t>genommen. Der Begriff „Pogrom“ taucht m.W. in der Exilpresse erst im Zusammenhang der Ausschreitungen vom 9. November 1938</w:t>
      </w:r>
      <w:r w:rsidR="00650917" w:rsidRPr="00852BF1">
        <w:rPr>
          <w:rStyle w:val="Funotenzeichen"/>
        </w:rPr>
        <w:footnoteReference w:id="23"/>
      </w:r>
      <w:r w:rsidR="00937BBC" w:rsidRPr="00852BF1">
        <w:t xml:space="preserve"> auf.</w:t>
      </w:r>
    </w:p>
    <w:p w:rsidR="00937BBC" w:rsidRPr="00852BF1" w:rsidRDefault="00937BBC" w:rsidP="007B3F3F">
      <w:pPr>
        <w:spacing w:after="0"/>
        <w:jc w:val="both"/>
      </w:pPr>
    </w:p>
    <w:p w:rsidR="00937BBC" w:rsidRPr="00852BF1" w:rsidRDefault="00937BBC" w:rsidP="007F1088">
      <w:pPr>
        <w:spacing w:after="0"/>
        <w:jc w:val="center"/>
        <w:rPr>
          <w:b/>
        </w:rPr>
      </w:pPr>
      <w:r w:rsidRPr="00852BF1">
        <w:rPr>
          <w:b/>
        </w:rPr>
        <w:t>*</w:t>
      </w:r>
    </w:p>
    <w:p w:rsidR="00463014" w:rsidRDefault="002D29F7" w:rsidP="007B3F3F">
      <w:pPr>
        <w:spacing w:after="0"/>
        <w:jc w:val="both"/>
      </w:pPr>
      <w:r w:rsidRPr="00852BF1">
        <w:lastRenderedPageBreak/>
        <w:tab/>
        <w:t>Julia Franke geht in ihrer Untersuchung über die jüdischen Emigranten in Paris</w:t>
      </w:r>
      <w:r w:rsidR="00485E3B" w:rsidRPr="00852BF1">
        <w:rPr>
          <w:rStyle w:val="Funotenzeichen"/>
        </w:rPr>
        <w:footnoteReference w:id="24"/>
      </w:r>
      <w:r w:rsidRPr="00852BF1">
        <w:t xml:space="preserve"> </w:t>
      </w:r>
      <w:r w:rsidR="00463014">
        <w:t>auf</w:t>
      </w:r>
      <w:r w:rsidR="00F64B3E" w:rsidRPr="00852BF1">
        <w:t xml:space="preserve"> </w:t>
      </w:r>
      <w:r w:rsidR="000D27A6">
        <w:t>ein</w:t>
      </w:r>
      <w:r w:rsidR="00C15C0A" w:rsidRPr="00852BF1">
        <w:t>en Vortrag</w:t>
      </w:r>
      <w:r w:rsidR="00463014">
        <w:t xml:space="preserve"> ein</w:t>
      </w:r>
      <w:r w:rsidR="00F64B3E" w:rsidRPr="00852BF1">
        <w:t xml:space="preserve">, den Georg Bernhard, der Chefredakteur des </w:t>
      </w:r>
      <w:r w:rsidR="00F64B3E" w:rsidRPr="00852BF1">
        <w:rPr>
          <w:i/>
        </w:rPr>
        <w:t>Pariser Tageblatts,</w:t>
      </w:r>
      <w:r w:rsidR="00F64B3E" w:rsidRPr="00852BF1">
        <w:t xml:space="preserve"> im Se</w:t>
      </w:r>
      <w:r w:rsidR="00F64B3E" w:rsidRPr="00852BF1">
        <w:t>p</w:t>
      </w:r>
      <w:r w:rsidR="00F64B3E" w:rsidRPr="00852BF1">
        <w:t>tember 1934</w:t>
      </w:r>
      <w:r w:rsidR="000D27A6">
        <w:t xml:space="preserve"> unter dem Titel </w:t>
      </w:r>
      <w:r w:rsidR="000D27A6" w:rsidRPr="00852BF1">
        <w:t>„Die jüdische Emigration“</w:t>
      </w:r>
      <w:r w:rsidR="00F64B3E" w:rsidRPr="00852BF1">
        <w:t xml:space="preserve"> </w:t>
      </w:r>
      <w:r w:rsidR="00627941" w:rsidRPr="00852BF1">
        <w:t xml:space="preserve">vor einem </w:t>
      </w:r>
      <w:r w:rsidR="00C651FF">
        <w:t>Auditorium</w:t>
      </w:r>
      <w:r w:rsidR="00627941" w:rsidRPr="00852BF1">
        <w:t xml:space="preserve"> jüdischer Emigranten h</w:t>
      </w:r>
      <w:r w:rsidR="00463014">
        <w:t>ä</w:t>
      </w:r>
      <w:r w:rsidR="00627941" w:rsidRPr="00852BF1">
        <w:t>lt</w:t>
      </w:r>
      <w:r w:rsidR="00F64B3E" w:rsidRPr="00852BF1">
        <w:t>.</w:t>
      </w:r>
      <w:r w:rsidR="00463014">
        <w:t xml:space="preserve"> </w:t>
      </w:r>
      <w:r w:rsidR="00627941" w:rsidRPr="00852BF1">
        <w:t>I</w:t>
      </w:r>
      <w:r w:rsidR="00660188" w:rsidRPr="00852BF1">
        <w:t xml:space="preserve">m </w:t>
      </w:r>
      <w:r w:rsidR="00660188" w:rsidRPr="00852BF1">
        <w:rPr>
          <w:i/>
        </w:rPr>
        <w:t>Pariser Tageblatt</w:t>
      </w:r>
      <w:r w:rsidR="00660188" w:rsidRPr="00852BF1">
        <w:t xml:space="preserve"> wird über </w:t>
      </w:r>
      <w:r w:rsidR="00E63633" w:rsidRPr="00852BF1">
        <w:t>den</w:t>
      </w:r>
      <w:r w:rsidR="00660188" w:rsidRPr="00852BF1">
        <w:t xml:space="preserve"> Vortrag aus der Perspektive eines </w:t>
      </w:r>
      <w:r w:rsidR="002F7010">
        <w:t>Zuh</w:t>
      </w:r>
      <w:r w:rsidR="002F7010">
        <w:t>ö</w:t>
      </w:r>
      <w:r w:rsidR="002F7010">
        <w:t>rers</w:t>
      </w:r>
      <w:r w:rsidR="00627941" w:rsidRPr="00852BF1">
        <w:t>, also in indirekter Rede,</w:t>
      </w:r>
      <w:r w:rsidR="00660188" w:rsidRPr="00852BF1">
        <w:t xml:space="preserve"> </w:t>
      </w:r>
      <w:r w:rsidR="001E610B">
        <w:t>berichte</w:t>
      </w:r>
      <w:r w:rsidR="00660188" w:rsidRPr="00852BF1">
        <w:t>t.</w:t>
      </w:r>
      <w:r w:rsidR="002043E7" w:rsidRPr="00852BF1">
        <w:rPr>
          <w:rStyle w:val="Funotenzeichen"/>
        </w:rPr>
        <w:footnoteReference w:id="25"/>
      </w:r>
      <w:r w:rsidR="00660188" w:rsidRPr="00852BF1">
        <w:t xml:space="preserve"> Es ist </w:t>
      </w:r>
      <w:r w:rsidR="004937FF">
        <w:t xml:space="preserve">trotzdem </w:t>
      </w:r>
      <w:r w:rsidR="00660188" w:rsidRPr="00852BF1">
        <w:t xml:space="preserve">anzunehmen, dass </w:t>
      </w:r>
      <w:r w:rsidR="00627941" w:rsidRPr="00852BF1">
        <w:t xml:space="preserve">dem </w:t>
      </w:r>
      <w:r w:rsidR="002F7010">
        <w:t>Verfass</w:t>
      </w:r>
      <w:r w:rsidR="002043E7" w:rsidRPr="00852BF1">
        <w:t xml:space="preserve">er </w:t>
      </w:r>
      <w:r w:rsidR="002F7010">
        <w:t xml:space="preserve">des Artikels </w:t>
      </w:r>
      <w:r w:rsidR="00660188" w:rsidRPr="00852BF1">
        <w:t xml:space="preserve">Bernhards Manuskript </w:t>
      </w:r>
      <w:r w:rsidR="004937FF">
        <w:t>zur Verfügung stand</w:t>
      </w:r>
      <w:r w:rsidR="002043E7" w:rsidRPr="00852BF1">
        <w:t xml:space="preserve">. </w:t>
      </w:r>
    </w:p>
    <w:p w:rsidR="00B90FDC" w:rsidRDefault="00463014" w:rsidP="007B3F3F">
      <w:pPr>
        <w:spacing w:after="0"/>
        <w:jc w:val="both"/>
      </w:pPr>
      <w:r>
        <w:tab/>
      </w:r>
      <w:r w:rsidR="00BE1152">
        <w:t>Der</w:t>
      </w:r>
      <w:r w:rsidR="002043E7" w:rsidRPr="00852BF1">
        <w:t xml:space="preserve"> </w:t>
      </w:r>
      <w:r>
        <w:t>Vortrag</w:t>
      </w:r>
      <w:r w:rsidR="000D27A6">
        <w:t xml:space="preserve"> vermittelt eine</w:t>
      </w:r>
      <w:r w:rsidR="002A451C">
        <w:t>n</w:t>
      </w:r>
      <w:r w:rsidR="000D27A6">
        <w:t xml:space="preserve"> </w:t>
      </w:r>
      <w:r w:rsidR="002A451C">
        <w:t>Eindruck</w:t>
      </w:r>
      <w:r w:rsidR="00B42113">
        <w:t xml:space="preserve"> von den</w:t>
      </w:r>
      <w:r>
        <w:t xml:space="preserve"> </w:t>
      </w:r>
      <w:r w:rsidR="001E610B">
        <w:t xml:space="preserve">Vorstellungen, die das </w:t>
      </w:r>
      <w:r w:rsidR="001E610B" w:rsidRPr="001E610B">
        <w:t xml:space="preserve">politische </w:t>
      </w:r>
      <w:r w:rsidR="001E610B">
        <w:t xml:space="preserve">Exil </w:t>
      </w:r>
      <w:r w:rsidR="00DC2522">
        <w:t>vom</w:t>
      </w:r>
      <w:r>
        <w:t xml:space="preserve"> </w:t>
      </w:r>
      <w:r w:rsidRPr="001E610B">
        <w:t>jüdischen</w:t>
      </w:r>
      <w:r>
        <w:t xml:space="preserve"> Exil </w:t>
      </w:r>
      <w:r w:rsidR="001E610B">
        <w:t>hat</w:t>
      </w:r>
      <w:r w:rsidR="002043E7" w:rsidRPr="00852BF1">
        <w:t xml:space="preserve">. </w:t>
      </w:r>
      <w:r w:rsidR="00B42113">
        <w:t xml:space="preserve">Bernhard beginnt konziliant: </w:t>
      </w:r>
      <w:r w:rsidR="004937FF">
        <w:t>D</w:t>
      </w:r>
      <w:r w:rsidR="00C651FF">
        <w:t>ie</w:t>
      </w:r>
      <w:r w:rsidR="001E610B">
        <w:t xml:space="preserve"> </w:t>
      </w:r>
      <w:r w:rsidR="004937FF">
        <w:t>„</w:t>
      </w:r>
      <w:r w:rsidR="001E610B">
        <w:t>jüdische E</w:t>
      </w:r>
      <w:r w:rsidR="00915331">
        <w:t>migration</w:t>
      </w:r>
      <w:r w:rsidR="004937FF">
        <w:t xml:space="preserve">“ </w:t>
      </w:r>
      <w:r w:rsidR="00B42113">
        <w:t>sei</w:t>
      </w:r>
      <w:r w:rsidR="004937FF">
        <w:t xml:space="preserve"> fü</w:t>
      </w:r>
      <w:r w:rsidR="00B42113">
        <w:t>r ihn</w:t>
      </w:r>
      <w:r w:rsidR="002A451C">
        <w:t xml:space="preserve"> ein „sehr wesentliche[r] und symbolische[r] Teil der Gesamtemigration aus Deutschland“</w:t>
      </w:r>
      <w:r w:rsidR="00B42113">
        <w:t>. Zugleich</w:t>
      </w:r>
      <w:r w:rsidR="002A451C">
        <w:t xml:space="preserve"> </w:t>
      </w:r>
      <w:r w:rsidR="00915331">
        <w:t xml:space="preserve">sei es </w:t>
      </w:r>
      <w:r w:rsidR="002A451C">
        <w:t>aber auch</w:t>
      </w:r>
      <w:r w:rsidR="001E610B">
        <w:t xml:space="preserve"> „ein Sonderfall“. </w:t>
      </w:r>
      <w:r w:rsidR="00915331">
        <w:t>– D</w:t>
      </w:r>
      <w:r w:rsidR="002A451C">
        <w:t>amit akzentuier</w:t>
      </w:r>
      <w:r w:rsidR="001E610B">
        <w:t>t</w:t>
      </w:r>
      <w:r w:rsidR="002A451C" w:rsidRPr="002A451C">
        <w:t xml:space="preserve"> </w:t>
      </w:r>
      <w:r w:rsidR="00B42113">
        <w:t xml:space="preserve">er </w:t>
      </w:r>
      <w:r w:rsidR="00915331">
        <w:t>neben der Gemeinsamkeit</w:t>
      </w:r>
      <w:r w:rsidR="00B42113">
        <w:t xml:space="preserve"> die </w:t>
      </w:r>
      <w:r w:rsidR="002043E7" w:rsidRPr="00852BF1">
        <w:t>Unterschied</w:t>
      </w:r>
      <w:r w:rsidR="00B42113">
        <w:t xml:space="preserve">e. Sein Ausgangspunkt ist das </w:t>
      </w:r>
      <w:r w:rsidR="00915331">
        <w:t>„</w:t>
      </w:r>
      <w:r w:rsidR="00B42113">
        <w:t>politische Exil</w:t>
      </w:r>
      <w:r w:rsidR="00915331">
        <w:t>“</w:t>
      </w:r>
      <w:r w:rsidR="00BE1152">
        <w:t>: das Parteienexil und das Exil der Schriftsteller und Publizisten.</w:t>
      </w:r>
      <w:r w:rsidR="00B42113">
        <w:t xml:space="preserve"> </w:t>
      </w:r>
      <w:r w:rsidR="00BC5AD1" w:rsidRPr="00852BF1">
        <w:t>Auf das Faktum</w:t>
      </w:r>
      <w:r w:rsidR="00DC2522">
        <w:t xml:space="preserve">, dass </w:t>
      </w:r>
      <w:r w:rsidR="00BC5AD1" w:rsidRPr="00852BF1">
        <w:t>d</w:t>
      </w:r>
      <w:r w:rsidR="00DC2522">
        <w:t>a</w:t>
      </w:r>
      <w:r w:rsidR="00BC5AD1" w:rsidRPr="00852BF1">
        <w:t>s Parteienexil</w:t>
      </w:r>
      <w:r w:rsidR="00DC2522">
        <w:t xml:space="preserve"> in höchstem Maß zerstritten ist</w:t>
      </w:r>
      <w:r w:rsidR="00B42113">
        <w:t>,</w:t>
      </w:r>
      <w:r w:rsidR="00DC2522">
        <w:t xml:space="preserve"> geht er nicht ein. </w:t>
      </w:r>
      <w:r w:rsidR="00BE1152">
        <w:t>Er hebt vielmehr das Gegenteil hervor: „Hier sind alle geeint durch den einen Gedanken, mit a</w:t>
      </w:r>
      <w:r w:rsidR="00ED7BF6">
        <w:t>l</w:t>
      </w:r>
      <w:r w:rsidR="00BE1152">
        <w:t>len Mitteln das System zu Fall zu bringen, das augenblic</w:t>
      </w:r>
      <w:r w:rsidR="00BE1152">
        <w:t>k</w:t>
      </w:r>
      <w:r w:rsidR="00BE1152">
        <w:t xml:space="preserve">lich in Deutschland regiert“. </w:t>
      </w:r>
      <w:r w:rsidR="00DC2522">
        <w:t xml:space="preserve">Wenn </w:t>
      </w:r>
      <w:r w:rsidR="004937FF">
        <w:t>Bernhard</w:t>
      </w:r>
      <w:r w:rsidR="00DC2522">
        <w:t xml:space="preserve"> </w:t>
      </w:r>
      <w:r w:rsidR="00915331">
        <w:t>mit Pathos</w:t>
      </w:r>
      <w:r w:rsidR="00BE1152">
        <w:t xml:space="preserve"> </w:t>
      </w:r>
      <w:r w:rsidR="00BC5AD1" w:rsidRPr="00852BF1">
        <w:t xml:space="preserve">postuliert, die jüdischen </w:t>
      </w:r>
      <w:r w:rsidR="00A54BEE" w:rsidRPr="00852BF1">
        <w:t>Flüchtlinge</w:t>
      </w:r>
      <w:r w:rsidR="00DC2522">
        <w:t xml:space="preserve"> sollten sich</w:t>
      </w:r>
      <w:r w:rsidR="00BC5AD1" w:rsidRPr="00852BF1">
        <w:t xml:space="preserve"> </w:t>
      </w:r>
      <w:r w:rsidR="00A54BEE" w:rsidRPr="005667F0">
        <w:t xml:space="preserve">ihren „christlichen Leidensgefährten“ </w:t>
      </w:r>
      <w:r w:rsidR="00E63633" w:rsidRPr="005667F0">
        <w:t xml:space="preserve">als </w:t>
      </w:r>
      <w:r w:rsidR="00DC2522">
        <w:t>„</w:t>
      </w:r>
      <w:r w:rsidR="00E63633" w:rsidRPr="005667F0">
        <w:t>Mitkämpfer“</w:t>
      </w:r>
      <w:r w:rsidR="00E63633" w:rsidRPr="00E854A1">
        <w:rPr>
          <w:i/>
        </w:rPr>
        <w:t xml:space="preserve"> </w:t>
      </w:r>
      <w:r w:rsidR="00A54BEE" w:rsidRPr="00DC2522">
        <w:t>anschließen</w:t>
      </w:r>
      <w:r w:rsidR="00DC2522">
        <w:t xml:space="preserve">, </w:t>
      </w:r>
      <w:r w:rsidR="00915331">
        <w:t>fordert er sie implizit auf</w:t>
      </w:r>
      <w:r w:rsidR="00DC2522">
        <w:t xml:space="preserve">, </w:t>
      </w:r>
      <w:r w:rsidR="00B42113">
        <w:t xml:space="preserve">vor </w:t>
      </w:r>
      <w:r w:rsidR="00BE1152">
        <w:t xml:space="preserve">der Zerstrittenheit des politischen Exils und dem damit verbundenen </w:t>
      </w:r>
      <w:r w:rsidR="00ED7BF6">
        <w:t xml:space="preserve">Mangel an </w:t>
      </w:r>
      <w:r w:rsidR="00BE1152">
        <w:t xml:space="preserve">Glaubwürdigkeit die Augen </w:t>
      </w:r>
      <w:r w:rsidR="00DC2522">
        <w:t>zu vers</w:t>
      </w:r>
      <w:r w:rsidR="004937FF">
        <w:t>c</w:t>
      </w:r>
      <w:r w:rsidR="00DC2522">
        <w:t>hließen</w:t>
      </w:r>
      <w:r w:rsidR="00A54BEE" w:rsidRPr="00E854A1">
        <w:rPr>
          <w:i/>
        </w:rPr>
        <w:t>.</w:t>
      </w:r>
      <w:r w:rsidR="00A54BEE" w:rsidRPr="00852BF1">
        <w:t xml:space="preserve"> </w:t>
      </w:r>
      <w:r w:rsidR="00915331">
        <w:t>Er verlangt „Solidarität“, erwähnt aber au</w:t>
      </w:r>
      <w:r w:rsidR="00915331">
        <w:t>s</w:t>
      </w:r>
      <w:r w:rsidR="00915331">
        <w:t>drücklich, dass es unter den jüdischen Emigranten auch „verhinderte Nazis“ g</w:t>
      </w:r>
      <w:r w:rsidR="0009255C">
        <w:t>äbe</w:t>
      </w:r>
      <w:r w:rsidR="00915331">
        <w:t>.</w:t>
      </w:r>
      <w:r w:rsidR="00665901">
        <w:t xml:space="preserve"> </w:t>
      </w:r>
      <w:r w:rsidR="00BC5AD1" w:rsidRPr="00852BF1">
        <w:t>Eine Z</w:t>
      </w:r>
      <w:r w:rsidR="00BC5AD1" w:rsidRPr="00852BF1">
        <w:t>u</w:t>
      </w:r>
      <w:r w:rsidR="00BC5AD1" w:rsidRPr="00852BF1">
        <w:t xml:space="preserve">kunftsperspektive </w:t>
      </w:r>
      <w:r w:rsidR="00BC5AD1" w:rsidRPr="00BE1152">
        <w:t>in einer deutschen Gesellschaft</w:t>
      </w:r>
      <w:r w:rsidR="00BC5AD1" w:rsidRPr="00852BF1">
        <w:t xml:space="preserve"> </w:t>
      </w:r>
      <w:r w:rsidR="004937FF">
        <w:t>sieht er für das jüdische Exil</w:t>
      </w:r>
      <w:r w:rsidR="00DC2522">
        <w:t xml:space="preserve"> </w:t>
      </w:r>
      <w:r w:rsidR="00ED7BF6">
        <w:t>auch nach E</w:t>
      </w:r>
      <w:r w:rsidR="00ED7BF6">
        <w:t>n</w:t>
      </w:r>
      <w:r w:rsidR="00ED7BF6">
        <w:t>de des NS-Regimes nicht</w:t>
      </w:r>
      <w:r w:rsidR="00DC2522">
        <w:t xml:space="preserve">. </w:t>
      </w:r>
    </w:p>
    <w:p w:rsidR="004937FF" w:rsidRPr="00852BF1" w:rsidRDefault="004937FF" w:rsidP="007B3F3F">
      <w:pPr>
        <w:spacing w:after="0"/>
        <w:jc w:val="both"/>
      </w:pPr>
      <w:r>
        <w:tab/>
        <w:t xml:space="preserve">Der </w:t>
      </w:r>
      <w:r w:rsidR="00ED7BF6">
        <w:t xml:space="preserve">Bericht des </w:t>
      </w:r>
      <w:r w:rsidR="00ED7BF6">
        <w:rPr>
          <w:i/>
        </w:rPr>
        <w:t>Pariser Tageblatts</w:t>
      </w:r>
      <w:r>
        <w:t xml:space="preserve"> </w:t>
      </w:r>
      <w:r w:rsidR="00623318">
        <w:t xml:space="preserve">setzt mit einem Hinweis auf den Veranstaltungsort </w:t>
      </w:r>
      <w:r w:rsidR="002F7010">
        <w:t xml:space="preserve">und </w:t>
      </w:r>
      <w:r w:rsidR="00A32A8B">
        <w:t>an dem starken Interesse am Thema</w:t>
      </w:r>
      <w:r w:rsidR="002F7010">
        <w:t xml:space="preserve"> </w:t>
      </w:r>
      <w:r w:rsidR="00623318">
        <w:t>ein</w:t>
      </w:r>
      <w:r>
        <w:t>:</w:t>
      </w:r>
    </w:p>
    <w:p w:rsidR="00660188" w:rsidRPr="00852BF1" w:rsidRDefault="00B90FDC" w:rsidP="007B3F3F">
      <w:pPr>
        <w:spacing w:after="0"/>
        <w:ind w:left="1134"/>
        <w:jc w:val="both"/>
      </w:pPr>
      <w:r w:rsidRPr="00852BF1">
        <w:t>„</w:t>
      </w:r>
      <w:r w:rsidR="00660188" w:rsidRPr="00852BF1">
        <w:t>Auf einem besonders stark besuchten Beg</w:t>
      </w:r>
      <w:r w:rsidR="00627941" w:rsidRPr="00852BF1">
        <w:t>rüssungsabend der Association des Émigrés Israélites d’Allemagne en France sprach Professor Georg Bernhard über die Lage der jüdischen Emigration.</w:t>
      </w:r>
    </w:p>
    <w:p w:rsidR="00B90FDC" w:rsidRPr="00852BF1" w:rsidRDefault="00B90FDC" w:rsidP="007B3F3F">
      <w:pPr>
        <w:spacing w:after="0"/>
        <w:ind w:left="1134"/>
        <w:jc w:val="both"/>
      </w:pPr>
      <w:r w:rsidRPr="00852BF1">
        <w:t>Die jüdische Emigration bilde einen sehr wesentlichen und symbolischen Teil der Gesamtemigration aus Deutschland. Sie kennzeichne besonders die Grausamkeit und Barbarei des Hitlersystems.</w:t>
      </w:r>
      <w:r w:rsidR="00627941" w:rsidRPr="00852BF1">
        <w:t xml:space="preserve"> </w:t>
      </w:r>
      <w:r w:rsidRPr="00852BF1">
        <w:t>Denn von diesen Juden seien viele nicht als pol</w:t>
      </w:r>
      <w:r w:rsidRPr="00852BF1">
        <w:t>i</w:t>
      </w:r>
      <w:r w:rsidRPr="00852BF1">
        <w:t>tische Gegner, sondern lediglich um ihrer Abstammung willen verjagt worden.</w:t>
      </w:r>
      <w:r w:rsidR="00627941" w:rsidRPr="00852BF1">
        <w:t xml:space="preserve"> </w:t>
      </w:r>
      <w:r w:rsidRPr="00852BF1">
        <w:t xml:space="preserve">Die </w:t>
      </w:r>
      <w:r w:rsidR="00627941" w:rsidRPr="00852BF1">
        <w:t xml:space="preserve">deutsche </w:t>
      </w:r>
      <w:r w:rsidRPr="00852BF1">
        <w:t xml:space="preserve">Judengesetzgebung und </w:t>
      </w:r>
      <w:r w:rsidR="00627941" w:rsidRPr="00852BF1">
        <w:t>noch mehr di</w:t>
      </w:r>
      <w:r w:rsidRPr="00852BF1">
        <w:t xml:space="preserve">e </w:t>
      </w:r>
      <w:r w:rsidR="00627941" w:rsidRPr="00852BF1">
        <w:t>v</w:t>
      </w:r>
      <w:r w:rsidRPr="00852BF1">
        <w:t>erwaltungs</w:t>
      </w:r>
      <w:r w:rsidR="00627941" w:rsidRPr="00852BF1">
        <w:t>mässige Han</w:t>
      </w:r>
      <w:r w:rsidR="00627941" w:rsidRPr="00852BF1">
        <w:t>d</w:t>
      </w:r>
      <w:r w:rsidR="00627941" w:rsidRPr="00852BF1">
        <w:t xml:space="preserve">habung dieser Gesetze im Dritten Reiche </w:t>
      </w:r>
      <w:r w:rsidRPr="00852BF1">
        <w:t xml:space="preserve">zeige, </w:t>
      </w:r>
      <w:r w:rsidR="00627941" w:rsidRPr="00852BF1">
        <w:t>wie dort</w:t>
      </w:r>
      <w:r w:rsidRPr="00852BF1">
        <w:t xml:space="preserve"> der </w:t>
      </w:r>
      <w:r w:rsidR="00627941" w:rsidRPr="00852BF1">
        <w:t xml:space="preserve">alte </w:t>
      </w:r>
      <w:r w:rsidRPr="00852BF1">
        <w:t>Kulturgrundsatz der Gleichheit alles dessen, was Menschenanlitz trägt, mit Füssen getreten we</w:t>
      </w:r>
      <w:r w:rsidRPr="00852BF1">
        <w:t>r</w:t>
      </w:r>
      <w:r w:rsidRPr="00852BF1">
        <w:t>de.</w:t>
      </w:r>
      <w:r w:rsidR="00627941" w:rsidRPr="00852BF1">
        <w:t>“</w:t>
      </w:r>
      <w:r w:rsidRPr="00852BF1">
        <w:t xml:space="preserve"> </w:t>
      </w:r>
    </w:p>
    <w:p w:rsidR="00F64B3E" w:rsidRPr="00852BF1" w:rsidRDefault="00B90FDC" w:rsidP="007B3F3F">
      <w:pPr>
        <w:spacing w:after="0"/>
        <w:jc w:val="both"/>
      </w:pPr>
      <w:r w:rsidRPr="00852BF1">
        <w:t xml:space="preserve">Bernhard kommt </w:t>
      </w:r>
      <w:r w:rsidR="00623318">
        <w:t xml:space="preserve">dann </w:t>
      </w:r>
      <w:r w:rsidRPr="00852BF1">
        <w:t xml:space="preserve">auf </w:t>
      </w:r>
      <w:r w:rsidR="00077673" w:rsidRPr="00852BF1">
        <w:t>die Pflicht</w:t>
      </w:r>
      <w:r w:rsidR="00E63633" w:rsidRPr="00852BF1">
        <w:t>en</w:t>
      </w:r>
      <w:r w:rsidR="00077673" w:rsidRPr="00852BF1">
        <w:t xml:space="preserve"> der jüdischen Emigranten </w:t>
      </w:r>
      <w:r w:rsidR="00623318">
        <w:t xml:space="preserve">gegenüber den politischen Emigranten </w:t>
      </w:r>
      <w:r w:rsidR="00077673" w:rsidRPr="00852BF1">
        <w:t>zu sprechen:</w:t>
      </w:r>
    </w:p>
    <w:p w:rsidR="00077673" w:rsidRPr="00852BF1" w:rsidRDefault="00077673" w:rsidP="007B3F3F">
      <w:pPr>
        <w:spacing w:after="0"/>
        <w:ind w:left="1134"/>
        <w:jc w:val="both"/>
      </w:pPr>
      <w:r w:rsidRPr="00852BF1">
        <w:t>„Soweit der jüdische Emigrant auch politischer Emigrant ist, hat er sich in der Emigration als Mitkämpfer seiner christlichen Leidensgefährten zu betätigen.</w:t>
      </w:r>
      <w:r w:rsidR="00AE7C45" w:rsidRPr="00852BF1">
        <w:t xml:space="preserve"> Und zwischen den jüdischen und nichtjüdischen Emigrierten aus politischen Gründen gibt es keine Unterschiede. </w:t>
      </w:r>
      <w:r w:rsidRPr="00852BF1">
        <w:t>Nichts wäre falscher als die alte Gegnerschaft aus der Heimat zwischen Demokraten, Sozialisten und Zentrumsleuten in der Emigration wieder aufleben zu lassen. Hier sind alle geeint durch den einen Gedanken, mit a</w:t>
      </w:r>
      <w:r w:rsidRPr="00852BF1">
        <w:t>l</w:t>
      </w:r>
      <w:r w:rsidRPr="00852BF1">
        <w:lastRenderedPageBreak/>
        <w:t>len Mitteln das System zu Fall zu bringen, das augenblicklich in Deutschland r</w:t>
      </w:r>
      <w:r w:rsidRPr="00852BF1">
        <w:t>e</w:t>
      </w:r>
      <w:r w:rsidRPr="00852BF1">
        <w:t>giert und nicht bloss die deutsche Freiheit brutal mit Füssen tritt, sondern auch den Frieden der Welt gefährdet.“</w:t>
      </w:r>
    </w:p>
    <w:p w:rsidR="00F64B3E" w:rsidRPr="00852BF1" w:rsidRDefault="00AC3160" w:rsidP="007B3F3F">
      <w:pPr>
        <w:spacing w:after="0"/>
        <w:jc w:val="both"/>
      </w:pPr>
      <w:r w:rsidRPr="00852BF1">
        <w:t xml:space="preserve">Nachdem Bernhard </w:t>
      </w:r>
      <w:r w:rsidR="00B5531E" w:rsidRPr="00852BF1">
        <w:t>da</w:t>
      </w:r>
      <w:r w:rsidRPr="00852BF1">
        <w:t>mit auf die Notwendigkeit hingewiesen hat, im Kampf gegen den Nat</w:t>
      </w:r>
      <w:r w:rsidRPr="00852BF1">
        <w:t>i</w:t>
      </w:r>
      <w:r w:rsidRPr="00852BF1">
        <w:t>onalsozialismus zusammenzustehen, kommt er auf die Sonderstellung der jüdischen Emigr</w:t>
      </w:r>
      <w:r w:rsidRPr="00852BF1">
        <w:t>a</w:t>
      </w:r>
      <w:r w:rsidRPr="00852BF1">
        <w:t>tion zu sprechen:</w:t>
      </w:r>
    </w:p>
    <w:p w:rsidR="00F64B3E" w:rsidRPr="00852BF1" w:rsidRDefault="00AC3160" w:rsidP="007B3F3F">
      <w:pPr>
        <w:spacing w:after="0"/>
        <w:ind w:left="1134"/>
        <w:jc w:val="both"/>
      </w:pPr>
      <w:r w:rsidRPr="00852BF1">
        <w:t>„Auf der anderen Seite aber kann nicht geleugnet werden, dass die jüdische Emi</w:t>
      </w:r>
      <w:r w:rsidRPr="00852BF1">
        <w:t>g</w:t>
      </w:r>
      <w:r w:rsidRPr="00852BF1">
        <w:t>ration im Rahmen der Gesamt-Emigration ein Sonderproblem darstellt. Selbst der politische Emigrierte jüdischer Abkunft habe gar keine Gewissheit</w:t>
      </w:r>
      <w:r w:rsidR="00B5531E" w:rsidRPr="00852BF1">
        <w:t>,</w:t>
      </w:r>
      <w:r w:rsidRPr="00852BF1">
        <w:t xml:space="preserve"> ob selbst eine solche Aenderung des Systems in Deutschland, die vielleicht den christlichen Emigrierten gestatten könne in eine freiere Heimat zurückzukehren, </w:t>
      </w:r>
      <w:r w:rsidR="00024851" w:rsidRPr="00852BF1">
        <w:t xml:space="preserve">begleitet von einer so gründlichen Reinigung der durch die Rassengesetzgebung vergifteten Atmosphäre in Deutschland, wie sie nötig wäre, </w:t>
      </w:r>
      <w:r w:rsidR="00354CBB">
        <w:t xml:space="preserve">[ausreicht], </w:t>
      </w:r>
      <w:r w:rsidR="00024851" w:rsidRPr="00852BF1">
        <w:t>um einem Juden mit Ehrgefühl in Deutschland das Leben wieder möglich zu machen.</w:t>
      </w:r>
    </w:p>
    <w:p w:rsidR="00024851" w:rsidRPr="00852BF1" w:rsidRDefault="00024851" w:rsidP="007B3F3F">
      <w:pPr>
        <w:spacing w:after="0"/>
        <w:ind w:left="1134"/>
        <w:jc w:val="both"/>
      </w:pPr>
      <w:r w:rsidRPr="00852BF1">
        <w:t>Leider gäbe es selbst unter Juden solche, die noch immer nicht die Besonderheit des jüdischen Problems einsähen. Insbesondere fehle ihnen die Solidarität.</w:t>
      </w:r>
      <w:r w:rsidR="00CD75B2" w:rsidRPr="00852BF1">
        <w:t xml:space="preserve"> Sie wenden sich sogar dagegen, dass jüngst auf der in Genf zusammengetretenen j</w:t>
      </w:r>
      <w:r w:rsidR="00CD75B2" w:rsidRPr="00852BF1">
        <w:t>ü</w:t>
      </w:r>
      <w:r w:rsidR="00CD75B2" w:rsidRPr="00852BF1">
        <w:t>dischen Weltkonferenz endlich einmal ein schwacher Versuch der Abwehr von Seiten der Juden gemacht worden ist.</w:t>
      </w:r>
      <w:r w:rsidR="006E4EF0" w:rsidRPr="00852BF1">
        <w:t xml:space="preserve"> Durch die Fiktion des Weltjudentums, mit der die Hitleragitation arbeitet, wird die Stellung der Juden in der ganzen Welt u</w:t>
      </w:r>
      <w:r w:rsidR="006E4EF0" w:rsidRPr="00852BF1">
        <w:t>n</w:t>
      </w:r>
      <w:r w:rsidR="006E4EF0" w:rsidRPr="00852BF1">
        <w:t>tergraben.</w:t>
      </w:r>
    </w:p>
    <w:p w:rsidR="00F64B3E" w:rsidRPr="00852BF1" w:rsidRDefault="00CD75B2" w:rsidP="007B3F3F">
      <w:pPr>
        <w:spacing w:after="0"/>
        <w:ind w:left="1134"/>
        <w:jc w:val="both"/>
      </w:pPr>
      <w:r w:rsidRPr="00852BF1">
        <w:t>Dadurch dass mit der jüdischen Emigration teilweise ganz unpolitische Elemente in andere Länder verschlagen worden sind, entstehe eine besondere Schwieri</w:t>
      </w:r>
      <w:r w:rsidRPr="00852BF1">
        <w:t>g</w:t>
      </w:r>
      <w:r w:rsidRPr="00852BF1">
        <w:t>keit</w:t>
      </w:r>
      <w:r w:rsidR="006E4EF0" w:rsidRPr="00852BF1">
        <w:t>[. W]</w:t>
      </w:r>
      <w:r w:rsidRPr="00852BF1">
        <w:t>enn diese Elemente vielfach durch ihr Benehmen unangenehm auffallen und dadurch Agitationsmaterial gegen die Juden und sogar gegen die gesamte Emigration aus Deutschland bieten</w:t>
      </w:r>
      <w:r w:rsidR="006E4EF0" w:rsidRPr="00852BF1">
        <w:t>, so sei das ausserordentlich bedauerlich. […] Hier dokumentiere sich […] die unbestreitbare Tatsache, dass die Juden nur zu sehr geneigt sind, die schlechten Eigenschaften ihrer Gastvölker intensiver anz</w:t>
      </w:r>
      <w:r w:rsidR="006E4EF0" w:rsidRPr="00852BF1">
        <w:t>u</w:t>
      </w:r>
      <w:r w:rsidR="006E4EF0" w:rsidRPr="00852BF1">
        <w:t xml:space="preserve">nehmen, als deren gute. </w:t>
      </w:r>
      <w:r w:rsidRPr="00852BF1">
        <w:t xml:space="preserve">Das lärmende, laute, absprechende, alles kritisierende und besser wissende Betragen im Ausland sei jene typische deutsche Eigenschaft, die gewisse deutsche Kreise von altersher </w:t>
      </w:r>
      <w:r w:rsidR="005A1311" w:rsidRPr="00852BF1">
        <w:t xml:space="preserve">so </w:t>
      </w:r>
      <w:r w:rsidRPr="00852BF1">
        <w:t xml:space="preserve">unbeliebt </w:t>
      </w:r>
      <w:r w:rsidR="005A1311" w:rsidRPr="00852BF1">
        <w:t xml:space="preserve">im Ausland </w:t>
      </w:r>
      <w:r w:rsidRPr="00852BF1">
        <w:t>gemacht habe.</w:t>
      </w:r>
      <w:r w:rsidR="005A1311" w:rsidRPr="00852BF1">
        <w:t xml:space="preserve"> In der jüdischen Emigration befinden sich viele Menschen, die im Grunde nichts a</w:t>
      </w:r>
      <w:r w:rsidR="005A1311" w:rsidRPr="00852BF1">
        <w:t>n</w:t>
      </w:r>
      <w:r w:rsidR="005A1311" w:rsidRPr="00852BF1">
        <w:t xml:space="preserve">deres als gute Deutsche, aber ‚verhinderte‘ Nazis sind. Sie würden mit Vergnügen im </w:t>
      </w:r>
      <w:r w:rsidR="00FE051B" w:rsidRPr="00852BF1">
        <w:t>[D]</w:t>
      </w:r>
      <w:r w:rsidR="005A1311" w:rsidRPr="00852BF1">
        <w:t>ritten Reich mittun, wenn man ihnen wenigstens gestattete, wenn schon kein braunes, so doch wenigstens ein grünes Hemd zu tragen.</w:t>
      </w:r>
      <w:r w:rsidR="00580AB3" w:rsidRPr="00852BF1">
        <w:t xml:space="preserve"> Diese Juden b</w:t>
      </w:r>
      <w:r w:rsidR="00580AB3" w:rsidRPr="00852BF1">
        <w:t>e</w:t>
      </w:r>
      <w:r w:rsidR="00580AB3" w:rsidRPr="00852BF1">
        <w:t>nehmen sich nicht jüdisch, sondern sie bestätigen die alldeutsche Maxime: ‚Am deutschen Wesen soll die Welt genesen.‘</w:t>
      </w:r>
      <w:r w:rsidR="00FE051B" w:rsidRPr="00852BF1">
        <w:t>“</w:t>
      </w:r>
    </w:p>
    <w:p w:rsidR="00580AB3" w:rsidRPr="00852BF1" w:rsidRDefault="00580AB3" w:rsidP="007B3F3F">
      <w:pPr>
        <w:spacing w:after="0"/>
        <w:jc w:val="both"/>
      </w:pPr>
      <w:r w:rsidRPr="00852BF1">
        <w:t xml:space="preserve">Bernhard spricht </w:t>
      </w:r>
      <w:r w:rsidR="00EC1BFA" w:rsidRPr="00852BF1">
        <w:t xml:space="preserve">dann </w:t>
      </w:r>
      <w:r w:rsidRPr="00852BF1">
        <w:t>in einem Exkurs über die Grenzen der Aufnahmebereitschaft der fra</w:t>
      </w:r>
      <w:r w:rsidRPr="00852BF1">
        <w:t>n</w:t>
      </w:r>
      <w:r w:rsidRPr="00852BF1">
        <w:t xml:space="preserve">zösischen Bevölkerung gegenüber der Emigration aus Deutschland. Auch </w:t>
      </w:r>
      <w:r w:rsidR="00FE051B" w:rsidRPr="00852BF1">
        <w:t>dabei</w:t>
      </w:r>
      <w:r w:rsidRPr="00852BF1">
        <w:t xml:space="preserve"> weist er auf einen Unterschied hin, der die „jüdische“ und d</w:t>
      </w:r>
      <w:r w:rsidR="00954FB9" w:rsidRPr="00852BF1">
        <w:t>ie</w:t>
      </w:r>
      <w:r w:rsidRPr="00852BF1">
        <w:t xml:space="preserve"> „christlichen“ Emigration </w:t>
      </w:r>
      <w:r w:rsidR="00954FB9" w:rsidRPr="00852BF1">
        <w:t>trennt</w:t>
      </w:r>
      <w:r w:rsidRPr="00852BF1">
        <w:t>:</w:t>
      </w:r>
    </w:p>
    <w:p w:rsidR="005A1311" w:rsidRPr="00852BF1" w:rsidRDefault="005A1311" w:rsidP="007B3F3F">
      <w:pPr>
        <w:spacing w:after="0"/>
        <w:ind w:left="1134"/>
        <w:jc w:val="both"/>
      </w:pPr>
      <w:r w:rsidRPr="00852BF1">
        <w:t>„Aber auch hier liegen die Dinge für die jüdische Emigration anders als für ma</w:t>
      </w:r>
      <w:r w:rsidRPr="00852BF1">
        <w:t>n</w:t>
      </w:r>
      <w:r w:rsidRPr="00852BF1">
        <w:t>che der christlichen Leidensgefährten. Denn ein Teil dieser Juden wird eben auf lange Zeit nicht in ihr Vaterland zurückkehren können. Sie müssen den Versuch machen, sich wirtschaftlich in die fremden Länder einzuordnen.</w:t>
      </w:r>
      <w:r w:rsidR="00580AB3" w:rsidRPr="00852BF1">
        <w:t xml:space="preserve"> Aber dann mü</w:t>
      </w:r>
      <w:r w:rsidR="00580AB3" w:rsidRPr="00852BF1">
        <w:t>s</w:t>
      </w:r>
      <w:r w:rsidR="00580AB3" w:rsidRPr="00852BF1">
        <w:lastRenderedPageBreak/>
        <w:t>sen sie dies auch deutlich zu erkennen geben, müssen insbesondere bereit sein, die Verpflichtung zum Wehrdienst zu übernehmen.</w:t>
      </w:r>
      <w:r w:rsidR="00954FB9" w:rsidRPr="00852BF1">
        <w:t xml:space="preserve"> […]“</w:t>
      </w:r>
    </w:p>
    <w:p w:rsidR="00F64B3E" w:rsidRPr="00852BF1" w:rsidRDefault="00954FB9" w:rsidP="007B3F3F">
      <w:pPr>
        <w:spacing w:after="0"/>
        <w:jc w:val="both"/>
      </w:pPr>
      <w:r w:rsidRPr="00852BF1">
        <w:t>Bernhard schließt seine Ausführungen mit folgenden Worten:</w:t>
      </w:r>
    </w:p>
    <w:p w:rsidR="00954FB9" w:rsidRPr="00852BF1" w:rsidRDefault="00954FB9" w:rsidP="007B3F3F">
      <w:pPr>
        <w:spacing w:after="0"/>
        <w:ind w:left="1134"/>
        <w:jc w:val="both"/>
      </w:pPr>
      <w:r w:rsidRPr="00852BF1">
        <w:t>„Auch für die deutsche Emigration müsse wie für andere frühere Emigrationen der Grundsatz gelten, dass die vermögenden Emigranten für ihre armen Schic</w:t>
      </w:r>
      <w:r w:rsidRPr="00852BF1">
        <w:t>k</w:t>
      </w:r>
      <w:r w:rsidRPr="00852BF1">
        <w:t>salsgefährten etwas tun. Es sei unbedingt notwendig, zu einem System der Selbs</w:t>
      </w:r>
      <w:r w:rsidRPr="00852BF1">
        <w:t>t</w:t>
      </w:r>
      <w:r w:rsidRPr="00852BF1">
        <w:t>besteuerung aller verdienenden Emigranten zur Unterstützung der Erwerbslosen zu kommen.“</w:t>
      </w:r>
    </w:p>
    <w:p w:rsidR="00467637" w:rsidRPr="00852BF1" w:rsidRDefault="00FE051B" w:rsidP="007B3F3F">
      <w:pPr>
        <w:spacing w:after="0"/>
        <w:jc w:val="both"/>
      </w:pPr>
      <w:r w:rsidRPr="00852BF1">
        <w:t>Angesichts derartiger Auffassungen hielten viel</w:t>
      </w:r>
      <w:r w:rsidR="006D6C2D" w:rsidRPr="00852BF1">
        <w:t>e prominente</w:t>
      </w:r>
      <w:r w:rsidR="00EA30DA" w:rsidRPr="00852BF1">
        <w:t xml:space="preserve"> </w:t>
      </w:r>
      <w:r w:rsidRPr="00852BF1">
        <w:t xml:space="preserve">jüdische </w:t>
      </w:r>
      <w:r w:rsidR="00EA30DA" w:rsidRPr="00852BF1">
        <w:t xml:space="preserve">Emigranten, die sich aufgrund ihrer </w:t>
      </w:r>
      <w:r w:rsidR="006D6C2D" w:rsidRPr="00852BF1">
        <w:t>beruflichen und politischen Vergangenheit</w:t>
      </w:r>
      <w:r w:rsidR="00EA30DA" w:rsidRPr="00852BF1">
        <w:t xml:space="preserve"> </w:t>
      </w:r>
      <w:r w:rsidRPr="00852BF1">
        <w:t xml:space="preserve">sicherlich </w:t>
      </w:r>
      <w:r w:rsidR="00354CBB">
        <w:t xml:space="preserve">auch </w:t>
      </w:r>
      <w:r w:rsidRPr="00852BF1">
        <w:t>als „politische Emigranten“ verstanden, vom</w:t>
      </w:r>
      <w:r w:rsidR="00EA30DA" w:rsidRPr="00852BF1">
        <w:t xml:space="preserve"> </w:t>
      </w:r>
      <w:r w:rsidRPr="00852BF1">
        <w:t xml:space="preserve">Parteienexil </w:t>
      </w:r>
      <w:r w:rsidR="00EA30DA" w:rsidRPr="00852BF1">
        <w:t xml:space="preserve">Abstand. Julia Franke </w:t>
      </w:r>
      <w:r w:rsidR="00354CBB">
        <w:t xml:space="preserve">weist auf </w:t>
      </w:r>
      <w:r w:rsidR="00AE68BD" w:rsidRPr="00852BF1">
        <w:t xml:space="preserve">entsprechende </w:t>
      </w:r>
      <w:r w:rsidR="00EA30DA" w:rsidRPr="00852BF1">
        <w:t>Tagebuch</w:t>
      </w:r>
      <w:r w:rsidR="00AE68BD" w:rsidRPr="00852BF1">
        <w:t xml:space="preserve">eintragungen </w:t>
      </w:r>
      <w:r w:rsidR="00354CBB">
        <w:t xml:space="preserve">z.B. </w:t>
      </w:r>
      <w:r w:rsidR="00EA30DA" w:rsidRPr="00852BF1">
        <w:t>von Ernst Feder</w:t>
      </w:r>
      <w:r w:rsidR="00354CBB">
        <w:t xml:space="preserve"> hin</w:t>
      </w:r>
      <w:r w:rsidR="00EA30DA" w:rsidRPr="00852BF1">
        <w:t>: „Besonders kritisch beurteilte er die Deu</w:t>
      </w:r>
      <w:r w:rsidR="00EA30DA" w:rsidRPr="00852BF1">
        <w:t>t</w:t>
      </w:r>
      <w:r w:rsidR="00EA30DA" w:rsidRPr="00852BF1">
        <w:t>sche Kommission</w:t>
      </w:r>
      <w:r w:rsidR="00AE68BD" w:rsidRPr="00852BF1">
        <w:rPr>
          <w:rStyle w:val="Funotenzeichen"/>
        </w:rPr>
        <w:footnoteReference w:id="26"/>
      </w:r>
      <w:r w:rsidR="00EA30DA" w:rsidRPr="00852BF1">
        <w:t xml:space="preserve"> (‚Ich fühle mich da nicht wohl‘, 11. Dezember 1934) und den Journali</w:t>
      </w:r>
      <w:r w:rsidR="00EA30DA" w:rsidRPr="00852BF1">
        <w:t>s</w:t>
      </w:r>
      <w:r w:rsidR="00EA30DA" w:rsidRPr="00852BF1">
        <w:t>tenverband (‚Nichts gelernt und nichts vergessen‘, 11. Dezember 1934).“</w:t>
      </w:r>
      <w:r w:rsidR="00EA30DA" w:rsidRPr="00852BF1">
        <w:rPr>
          <w:rStyle w:val="Funotenzeichen"/>
        </w:rPr>
        <w:footnoteReference w:id="27"/>
      </w:r>
      <w:r w:rsidR="00AE68BD" w:rsidRPr="00852BF1">
        <w:t xml:space="preserve"> </w:t>
      </w:r>
      <w:r w:rsidR="00467637" w:rsidRPr="00852BF1">
        <w:t>E</w:t>
      </w:r>
      <w:r w:rsidR="00AE68BD" w:rsidRPr="00852BF1">
        <w:t>rnst Feder, pr</w:t>
      </w:r>
      <w:r w:rsidR="00AE68BD" w:rsidRPr="00852BF1">
        <w:t>o</w:t>
      </w:r>
      <w:r w:rsidR="00AE68BD" w:rsidRPr="00852BF1">
        <w:t xml:space="preserve">movierter Jurist, Notar, Journalist, war in der Weimarer Republik Mitglied der Deutschen Demokratischen Partei gewesen, später </w:t>
      </w:r>
      <w:r w:rsidR="00467637" w:rsidRPr="00852BF1">
        <w:t xml:space="preserve">Mitglied </w:t>
      </w:r>
      <w:r w:rsidR="00AE68BD" w:rsidRPr="00852BF1">
        <w:t xml:space="preserve">der Deutschen Staatspartei. Von 1919 bis 1931 war er Ressortleiter für Innenpolitik beim </w:t>
      </w:r>
      <w:r w:rsidR="00AE68BD" w:rsidRPr="00852BF1">
        <w:rPr>
          <w:i/>
        </w:rPr>
        <w:t>Berliner Tageblatt</w:t>
      </w:r>
      <w:r w:rsidR="00AE68BD" w:rsidRPr="00852BF1">
        <w:t xml:space="preserve"> und in dieser Stellung ein Vertrauter von Theodor Wolff, dem Chefredakteur. In Paris arbeitet</w:t>
      </w:r>
      <w:r w:rsidR="00D5343C" w:rsidRPr="00852BF1">
        <w:t>e</w:t>
      </w:r>
      <w:r w:rsidR="00AE68BD" w:rsidRPr="00852BF1">
        <w:t xml:space="preserve"> er als Anwalt im B</w:t>
      </w:r>
      <w:r w:rsidR="00AE68BD" w:rsidRPr="00852BF1">
        <w:t>e</w:t>
      </w:r>
      <w:r w:rsidR="00AE68BD" w:rsidRPr="00852BF1">
        <w:t>reich der Rechts- und Wirtschaftsberatung</w:t>
      </w:r>
      <w:r w:rsidR="00467637" w:rsidRPr="00852BF1">
        <w:t>.</w:t>
      </w:r>
      <w:r w:rsidR="00AE68BD" w:rsidRPr="00852BF1">
        <w:t xml:space="preserve"> </w:t>
      </w:r>
      <w:r w:rsidR="00467637" w:rsidRPr="00852BF1">
        <w:t>In den Augen des Parteienexils und seines U</w:t>
      </w:r>
      <w:r w:rsidR="00467637" w:rsidRPr="00852BF1">
        <w:t>m</w:t>
      </w:r>
      <w:r w:rsidR="00467637" w:rsidRPr="00852BF1">
        <w:t xml:space="preserve">felds war Feder </w:t>
      </w:r>
      <w:r w:rsidR="00354CBB">
        <w:t xml:space="preserve">jedoch </w:t>
      </w:r>
      <w:r w:rsidR="00467637" w:rsidRPr="00852BF1">
        <w:t>ein „Bürgerlicher“, als Wirtschaftsanwalt, der beruflich noch in Ko</w:t>
      </w:r>
      <w:r w:rsidR="00467637" w:rsidRPr="00852BF1">
        <w:t>n</w:t>
      </w:r>
      <w:r w:rsidR="00467637" w:rsidRPr="00852BF1">
        <w:t>takt zu seiner Berliner Kanzlei stand,</w:t>
      </w:r>
      <w:r w:rsidR="00B7699F">
        <w:t xml:space="preserve"> zudem</w:t>
      </w:r>
      <w:r w:rsidR="00467637" w:rsidRPr="00852BF1">
        <w:t xml:space="preserve"> eine </w:t>
      </w:r>
      <w:r w:rsidR="00B7699F">
        <w:t xml:space="preserve">politisch </w:t>
      </w:r>
      <w:r w:rsidR="00467637" w:rsidRPr="00852BF1">
        <w:t xml:space="preserve">suspekte </w:t>
      </w:r>
      <w:r w:rsidR="00B7699F">
        <w:t>Gestalt</w:t>
      </w:r>
      <w:r w:rsidR="00467637" w:rsidRPr="00852BF1">
        <w:t xml:space="preserve">. </w:t>
      </w:r>
    </w:p>
    <w:p w:rsidR="006D6C2D" w:rsidRPr="00852BF1" w:rsidRDefault="006D6C2D" w:rsidP="007B3F3F">
      <w:pPr>
        <w:spacing w:after="0"/>
        <w:jc w:val="both"/>
      </w:pPr>
    </w:p>
    <w:p w:rsidR="00C250EB" w:rsidRPr="00852BF1" w:rsidRDefault="008E0254" w:rsidP="007B3F3F">
      <w:pPr>
        <w:spacing w:after="0"/>
        <w:jc w:val="both"/>
      </w:pPr>
      <w:r w:rsidRPr="00852BF1">
        <w:tab/>
      </w:r>
      <w:r w:rsidR="00E03A36" w:rsidRPr="00852BF1">
        <w:t xml:space="preserve">Auf </w:t>
      </w:r>
      <w:r w:rsidRPr="00852BF1">
        <w:t>ander</w:t>
      </w:r>
      <w:r w:rsidR="00E03A36" w:rsidRPr="00852BF1">
        <w:t>er Ebene</w:t>
      </w:r>
      <w:r w:rsidRPr="00852BF1">
        <w:t xml:space="preserve"> als die Äußerung</w:t>
      </w:r>
      <w:r w:rsidR="00C250EB" w:rsidRPr="00852BF1">
        <w:t>en</w:t>
      </w:r>
      <w:r w:rsidRPr="00852BF1">
        <w:t xml:space="preserve"> Georg Bernhard</w:t>
      </w:r>
      <w:r w:rsidR="00E03A36" w:rsidRPr="00852BF1">
        <w:t>s</w:t>
      </w:r>
      <w:r w:rsidRPr="00852BF1">
        <w:t xml:space="preserve"> </w:t>
      </w:r>
      <w:r w:rsidR="00E03A36" w:rsidRPr="00852BF1">
        <w:t xml:space="preserve">bewegt </w:t>
      </w:r>
      <w:r w:rsidR="0084134F" w:rsidRPr="00852BF1">
        <w:t xml:space="preserve">sich </w:t>
      </w:r>
      <w:r w:rsidR="00B213B0" w:rsidRPr="00852BF1">
        <w:t xml:space="preserve">ein </w:t>
      </w:r>
      <w:r w:rsidRPr="00852BF1">
        <w:t>Brief</w:t>
      </w:r>
      <w:r w:rsidR="00E03A36" w:rsidRPr="00852BF1">
        <w:t xml:space="preserve">, </w:t>
      </w:r>
      <w:r w:rsidRPr="00852BF1">
        <w:t xml:space="preserve">den Anna Seghers </w:t>
      </w:r>
      <w:r w:rsidR="00211168" w:rsidRPr="00852BF1">
        <w:t xml:space="preserve">im Juli </w:t>
      </w:r>
      <w:r w:rsidRPr="00852BF1">
        <w:t>1933 an Hermann Kesten richtet</w:t>
      </w:r>
      <w:r w:rsidR="00FE051B" w:rsidRPr="00852BF1">
        <w:t>e</w:t>
      </w:r>
      <w:r w:rsidR="00211168" w:rsidRPr="00852BF1">
        <w:t xml:space="preserve"> und auf den </w:t>
      </w:r>
      <w:r w:rsidR="00B213B0" w:rsidRPr="00852BF1">
        <w:t>J</w:t>
      </w:r>
      <w:r w:rsidRPr="00852BF1">
        <w:t xml:space="preserve">ulia Franke </w:t>
      </w:r>
      <w:r w:rsidR="00B213B0" w:rsidRPr="00852BF1">
        <w:t>eben</w:t>
      </w:r>
      <w:r w:rsidR="00E03A36" w:rsidRPr="00852BF1">
        <w:t>falls Bezug</w:t>
      </w:r>
      <w:r w:rsidR="00211168" w:rsidRPr="00852BF1">
        <w:t xml:space="preserve"> nimmt</w:t>
      </w:r>
      <w:r w:rsidRPr="00852BF1">
        <w:t>.</w:t>
      </w:r>
      <w:r w:rsidRPr="00852BF1">
        <w:rPr>
          <w:rStyle w:val="Funotenzeichen"/>
        </w:rPr>
        <w:footnoteReference w:id="28"/>
      </w:r>
      <w:r w:rsidRPr="00852BF1">
        <w:t xml:space="preserve"> </w:t>
      </w:r>
      <w:r w:rsidR="00C250EB" w:rsidRPr="00852BF1">
        <w:t>Anlass ihres Briefes war der Plan, den d</w:t>
      </w:r>
      <w:r w:rsidR="00952C82" w:rsidRPr="00852BF1">
        <w:t>er Verlag Allert de Lange</w:t>
      </w:r>
      <w:r w:rsidRPr="00852BF1">
        <w:t xml:space="preserve"> </w:t>
      </w:r>
      <w:r w:rsidR="00C250EB" w:rsidRPr="00852BF1">
        <w:t>verfolg</w:t>
      </w:r>
      <w:r w:rsidRPr="00852BF1">
        <w:t>te</w:t>
      </w:r>
      <w:r w:rsidR="00952C82" w:rsidRPr="00852BF1">
        <w:t>,</w:t>
      </w:r>
      <w:r w:rsidRPr="00852BF1">
        <w:t xml:space="preserve"> </w:t>
      </w:r>
      <w:r w:rsidR="00211168" w:rsidRPr="00852BF1">
        <w:t>als „Antwort auf die antisemitischen Angriffe gegen deutsch-jüdische“ Autoren</w:t>
      </w:r>
      <w:r w:rsidR="00C250EB" w:rsidRPr="00852BF1">
        <w:t xml:space="preserve"> – so die Fo</w:t>
      </w:r>
      <w:r w:rsidR="00C250EB" w:rsidRPr="00852BF1">
        <w:t>r</w:t>
      </w:r>
      <w:r w:rsidR="00C250EB" w:rsidRPr="00852BF1">
        <w:t>mulierung eines Briefes, der im Verlag vorbereitet worden war</w:t>
      </w:r>
      <w:r w:rsidR="00C250EB" w:rsidRPr="00852BF1">
        <w:rPr>
          <w:rStyle w:val="Funotenzeichen"/>
        </w:rPr>
        <w:footnoteReference w:id="29"/>
      </w:r>
      <w:r w:rsidR="00C250EB" w:rsidRPr="00852BF1">
        <w:t xml:space="preserve"> – </w:t>
      </w:r>
      <w:r w:rsidRPr="00852BF1">
        <w:t xml:space="preserve">eine </w:t>
      </w:r>
      <w:r w:rsidR="00BC4D0D" w:rsidRPr="00852BF1">
        <w:t>S</w:t>
      </w:r>
      <w:r w:rsidR="002C66AE" w:rsidRPr="00852BF1">
        <w:t xml:space="preserve">ammlung </w:t>
      </w:r>
      <w:r w:rsidR="00BC4D0D" w:rsidRPr="00852BF1">
        <w:t>mit Nove</w:t>
      </w:r>
      <w:r w:rsidR="00BC4D0D" w:rsidRPr="00852BF1">
        <w:t>l</w:t>
      </w:r>
      <w:r w:rsidR="00BC4D0D" w:rsidRPr="00852BF1">
        <w:t xml:space="preserve">len repräsentativer jüdischer Autoren </w:t>
      </w:r>
      <w:r w:rsidR="002C66AE" w:rsidRPr="00852BF1">
        <w:t xml:space="preserve">zu </w:t>
      </w:r>
      <w:r w:rsidR="00BC4D0D" w:rsidRPr="00852BF1">
        <w:t>veröffentlichen</w:t>
      </w:r>
      <w:r w:rsidRPr="00852BF1">
        <w:t>.</w:t>
      </w:r>
      <w:r w:rsidR="00C250EB" w:rsidRPr="00852BF1">
        <w:rPr>
          <w:rStyle w:val="Funotenzeichen"/>
        </w:rPr>
        <w:footnoteReference w:id="30"/>
      </w:r>
      <w:r w:rsidR="00C250EB" w:rsidRPr="00852BF1">
        <w:t xml:space="preserve"> </w:t>
      </w:r>
      <w:r w:rsidR="00D5779B" w:rsidRPr="00852BF1">
        <w:t>Kesten war mit der Zusammenste</w:t>
      </w:r>
      <w:r w:rsidR="00D5779B" w:rsidRPr="00852BF1">
        <w:t>l</w:t>
      </w:r>
      <w:r w:rsidR="00D5779B" w:rsidRPr="00852BF1">
        <w:t xml:space="preserve">lung beauftragt. </w:t>
      </w:r>
      <w:r w:rsidRPr="00852BF1">
        <w:t xml:space="preserve">Anna Seghers </w:t>
      </w:r>
      <w:r w:rsidR="00E03A36" w:rsidRPr="00852BF1">
        <w:t>lehnte eine Beteiligung ab</w:t>
      </w:r>
      <w:r w:rsidRPr="00852BF1">
        <w:t xml:space="preserve">. </w:t>
      </w:r>
      <w:r w:rsidR="00E03A36" w:rsidRPr="00852BF1">
        <w:t>Als</w:t>
      </w:r>
      <w:r w:rsidRPr="00852BF1">
        <w:t xml:space="preserve"> Grund </w:t>
      </w:r>
      <w:r w:rsidR="00B213B0" w:rsidRPr="00852BF1">
        <w:t>fü</w:t>
      </w:r>
      <w:r w:rsidR="00E03A36" w:rsidRPr="00852BF1">
        <w:t>h</w:t>
      </w:r>
      <w:r w:rsidR="00B213B0" w:rsidRPr="00852BF1">
        <w:t>r</w:t>
      </w:r>
      <w:r w:rsidR="00E03A36" w:rsidRPr="00852BF1">
        <w:t>t</w:t>
      </w:r>
      <w:r w:rsidR="00B75408" w:rsidRPr="00852BF1">
        <w:t>e</w:t>
      </w:r>
      <w:r w:rsidR="00E03A36" w:rsidRPr="00852BF1">
        <w:t xml:space="preserve"> sie </w:t>
      </w:r>
      <w:r w:rsidRPr="00852BF1">
        <w:t>eine politische Abwägung</w:t>
      </w:r>
      <w:r w:rsidR="00E03A36" w:rsidRPr="00852BF1">
        <w:t xml:space="preserve"> an</w:t>
      </w:r>
      <w:r w:rsidRPr="00852BF1">
        <w:t>: „Ein Buch aus ausschließlich jüdischen Autoren halte ich gerade jetzt für u</w:t>
      </w:r>
      <w:r w:rsidRPr="00852BF1">
        <w:t>n</w:t>
      </w:r>
      <w:r w:rsidRPr="00852BF1">
        <w:t>richtig.“</w:t>
      </w:r>
      <w:r w:rsidRPr="00852BF1">
        <w:rPr>
          <w:rStyle w:val="Funotenzeichen"/>
        </w:rPr>
        <w:footnoteReference w:id="31"/>
      </w:r>
      <w:r w:rsidR="00AF3779" w:rsidRPr="00852BF1">
        <w:t xml:space="preserve"> </w:t>
      </w:r>
      <w:r w:rsidR="00C250EB" w:rsidRPr="00852BF1">
        <w:t xml:space="preserve">Dies war eine stichhaltige Begründung. </w:t>
      </w:r>
      <w:r w:rsidR="00D5779B" w:rsidRPr="00852BF1">
        <w:t>Ähnlich argumentierte auch Franz Schoe</w:t>
      </w:r>
      <w:r w:rsidR="00D5779B" w:rsidRPr="00852BF1">
        <w:t>n</w:t>
      </w:r>
      <w:r w:rsidR="00D5779B" w:rsidRPr="00852BF1">
        <w:t xml:space="preserve">berner. </w:t>
      </w:r>
      <w:r w:rsidR="00F74288" w:rsidRPr="00852BF1">
        <w:t>Implizit g</w:t>
      </w:r>
      <w:r w:rsidR="00B75408" w:rsidRPr="00852BF1">
        <w:t>ab</w:t>
      </w:r>
      <w:r w:rsidR="00F74288" w:rsidRPr="00852BF1">
        <w:t xml:space="preserve"> sie Kesten damit zu verstehen, dass sie sich einer</w:t>
      </w:r>
      <w:r w:rsidR="00AF3779" w:rsidRPr="00852BF1">
        <w:t xml:space="preserve"> Anthologie</w:t>
      </w:r>
      <w:r w:rsidR="000B39C0" w:rsidRPr="00852BF1">
        <w:t xml:space="preserve"> mit Texten</w:t>
      </w:r>
      <w:r w:rsidR="00AF3779" w:rsidRPr="00852BF1">
        <w:t xml:space="preserve"> </w:t>
      </w:r>
      <w:r w:rsidR="00AF3779" w:rsidRPr="00852BF1">
        <w:rPr>
          <w:i/>
        </w:rPr>
        <w:t>alle</w:t>
      </w:r>
      <w:r w:rsidR="000B39C0" w:rsidRPr="00852BF1">
        <w:rPr>
          <w:i/>
        </w:rPr>
        <w:t>r</w:t>
      </w:r>
      <w:r w:rsidR="00AF3779" w:rsidRPr="00852BF1">
        <w:t xml:space="preserve"> Autoren, deren Werke am 10. Mai 1933 öffentlich geächtet worden war</w:t>
      </w:r>
      <w:r w:rsidR="000B39C0" w:rsidRPr="00852BF1">
        <w:t>en</w:t>
      </w:r>
      <w:r w:rsidR="00AF3779" w:rsidRPr="00852BF1">
        <w:t xml:space="preserve">, </w:t>
      </w:r>
      <w:r w:rsidR="00F74288" w:rsidRPr="00852BF1">
        <w:rPr>
          <w:i/>
        </w:rPr>
        <w:t>nicht</w:t>
      </w:r>
      <w:r w:rsidR="00F74288" w:rsidRPr="00852BF1">
        <w:t xml:space="preserve"> ve</w:t>
      </w:r>
      <w:r w:rsidR="00F74288" w:rsidRPr="00852BF1">
        <w:t>r</w:t>
      </w:r>
      <w:r w:rsidR="00F74288" w:rsidRPr="00852BF1">
        <w:t>schließen würde</w:t>
      </w:r>
      <w:r w:rsidR="00AF3779" w:rsidRPr="00852BF1">
        <w:t xml:space="preserve">. </w:t>
      </w:r>
    </w:p>
    <w:p w:rsidR="008E0254" w:rsidRPr="00852BF1" w:rsidRDefault="00C250EB" w:rsidP="007B3F3F">
      <w:pPr>
        <w:spacing w:after="0"/>
        <w:jc w:val="both"/>
      </w:pPr>
      <w:r w:rsidRPr="00852BF1">
        <w:tab/>
      </w:r>
      <w:r w:rsidR="00F74288" w:rsidRPr="00852BF1">
        <w:t>Führt man sich den Tenor der „Feuersprüche</w:t>
      </w:r>
      <w:r w:rsidR="00732839" w:rsidRPr="00852BF1">
        <w:t>“</w:t>
      </w:r>
      <w:r w:rsidR="00F74288" w:rsidRPr="00852BF1">
        <w:t xml:space="preserve">, die bei den Bücherverbrennungen auf dem Berliner Opernplatz vorgetragen wurden, </w:t>
      </w:r>
      <w:r w:rsidR="00732839" w:rsidRPr="00852BF1">
        <w:t xml:space="preserve">vor Augen, </w:t>
      </w:r>
      <w:r w:rsidR="00F74288" w:rsidRPr="00852BF1">
        <w:t xml:space="preserve">dann leuchtet </w:t>
      </w:r>
      <w:r w:rsidR="00943971" w:rsidRPr="00852BF1">
        <w:t xml:space="preserve">Anna Seghers‘ </w:t>
      </w:r>
      <w:r w:rsidR="00AF3779" w:rsidRPr="00852BF1">
        <w:t>A</w:t>
      </w:r>
      <w:r w:rsidR="00AF3779" w:rsidRPr="00852BF1">
        <w:t>r</w:t>
      </w:r>
      <w:r w:rsidR="00AF3779" w:rsidRPr="00852BF1">
        <w:t>gumentation</w:t>
      </w:r>
      <w:r w:rsidR="00F74288" w:rsidRPr="00852BF1">
        <w:t xml:space="preserve"> ein. Die „Feuersprüche“ umfassen ein Spektrum, d</w:t>
      </w:r>
      <w:r w:rsidR="00732839" w:rsidRPr="00852BF1">
        <w:t>as</w:t>
      </w:r>
      <w:r w:rsidR="00F74288" w:rsidRPr="00852BF1">
        <w:t xml:space="preserve"> die Vielfalt und Vielschic</w:t>
      </w:r>
      <w:r w:rsidR="00F74288" w:rsidRPr="00852BF1">
        <w:t>h</w:t>
      </w:r>
      <w:r w:rsidR="00F74288" w:rsidRPr="00852BF1">
        <w:lastRenderedPageBreak/>
        <w:t>tigkeit der Verfolgung durchaus angemessen spiegelt</w:t>
      </w:r>
      <w:r w:rsidRPr="00852BF1">
        <w:t>, und zwar insbesondere durch die Übe</w:t>
      </w:r>
      <w:r w:rsidRPr="00852BF1">
        <w:t>r</w:t>
      </w:r>
      <w:r w:rsidRPr="00852BF1">
        <w:t>schneidung des „jüdischen“ und des „politischen“ Aspekts</w:t>
      </w:r>
      <w:r w:rsidR="00F74288" w:rsidRPr="00852BF1">
        <w:t>: marxistische Theoretiker</w:t>
      </w:r>
      <w:r w:rsidR="00732839" w:rsidRPr="00852BF1">
        <w:t>,</w:t>
      </w:r>
      <w:r w:rsidR="00F74288" w:rsidRPr="00852BF1">
        <w:t xml:space="preserve"> Pazifi</w:t>
      </w:r>
      <w:r w:rsidR="00F74288" w:rsidRPr="00852BF1">
        <w:t>s</w:t>
      </w:r>
      <w:r w:rsidR="00F74288" w:rsidRPr="00852BF1">
        <w:t>ten</w:t>
      </w:r>
      <w:r w:rsidR="00732839" w:rsidRPr="00852BF1">
        <w:t>, namhafte Publizisten, link</w:t>
      </w:r>
      <w:r w:rsidR="00B75408" w:rsidRPr="00852BF1">
        <w:t>sintel</w:t>
      </w:r>
      <w:r w:rsidR="00830CFE" w:rsidRPr="00852BF1">
        <w:t>l</w:t>
      </w:r>
      <w:r w:rsidR="00B75408" w:rsidRPr="00852BF1">
        <w:t>ektuelle</w:t>
      </w:r>
      <w:r w:rsidR="00732839" w:rsidRPr="00852BF1">
        <w:t xml:space="preserve"> Autoren wie Heinrich Mann, Erich Maria R</w:t>
      </w:r>
      <w:r w:rsidR="00732839" w:rsidRPr="00852BF1">
        <w:t>e</w:t>
      </w:r>
      <w:r w:rsidR="00732839" w:rsidRPr="00852BF1">
        <w:t>marque, Ernst Glaeser oder Erich Kästner und nicht zuletzt prominente jüdische Autoren wie Kerr, Tucholsky oder Freud.</w:t>
      </w:r>
      <w:r w:rsidR="00943971" w:rsidRPr="00852BF1">
        <w:t xml:space="preserve"> Man kann die Absage also durchaus</w:t>
      </w:r>
      <w:r w:rsidR="00EA4789" w:rsidRPr="00852BF1">
        <w:t xml:space="preserve"> als ein Plädoyer </w:t>
      </w:r>
      <w:r w:rsidR="000B3292" w:rsidRPr="00852BF1">
        <w:t xml:space="preserve">dafür </w:t>
      </w:r>
      <w:r w:rsidR="00943971" w:rsidRPr="00852BF1">
        <w:t>ve</w:t>
      </w:r>
      <w:r w:rsidR="00943971" w:rsidRPr="00852BF1">
        <w:t>r</w:t>
      </w:r>
      <w:r w:rsidR="00943971" w:rsidRPr="00852BF1">
        <w:t>stehen</w:t>
      </w:r>
      <w:r w:rsidR="00EA4789" w:rsidRPr="00852BF1">
        <w:t>, nicht einen Einzelaspekt, sondern d</w:t>
      </w:r>
      <w:r w:rsidR="00943971" w:rsidRPr="00852BF1">
        <w:t>en</w:t>
      </w:r>
      <w:r w:rsidR="00EA4789" w:rsidRPr="00852BF1">
        <w:t xml:space="preserve"> </w:t>
      </w:r>
      <w:r w:rsidR="00F82079" w:rsidRPr="00852BF1">
        <w:rPr>
          <w:i/>
        </w:rPr>
        <w:t>Ge</w:t>
      </w:r>
      <w:r w:rsidR="00943971" w:rsidRPr="00852BF1">
        <w:rPr>
          <w:i/>
        </w:rPr>
        <w:t xml:space="preserve">samtzusammenhang </w:t>
      </w:r>
      <w:r w:rsidR="00F82079" w:rsidRPr="00852BF1">
        <w:rPr>
          <w:i/>
        </w:rPr>
        <w:t>de</w:t>
      </w:r>
      <w:r w:rsidR="00943971" w:rsidRPr="00852BF1">
        <w:rPr>
          <w:i/>
        </w:rPr>
        <w:t>r Verfolgung</w:t>
      </w:r>
      <w:r w:rsidR="00EA4789" w:rsidRPr="00852BF1">
        <w:t xml:space="preserve"> herau</w:t>
      </w:r>
      <w:r w:rsidR="00EA4789" w:rsidRPr="00852BF1">
        <w:t>s</w:t>
      </w:r>
      <w:r w:rsidR="00EA4789" w:rsidRPr="00852BF1">
        <w:t>zustellen</w:t>
      </w:r>
      <w:r w:rsidR="00F82079" w:rsidRPr="00852BF1">
        <w:rPr>
          <w:i/>
        </w:rPr>
        <w:t>.</w:t>
      </w:r>
    </w:p>
    <w:p w:rsidR="00C250EB" w:rsidRPr="00852BF1" w:rsidRDefault="00C250EB" w:rsidP="007B3F3F">
      <w:pPr>
        <w:spacing w:after="0"/>
        <w:jc w:val="both"/>
      </w:pPr>
    </w:p>
    <w:p w:rsidR="002D29F7" w:rsidRPr="00852BF1" w:rsidRDefault="0084134F" w:rsidP="007B3F3F">
      <w:pPr>
        <w:spacing w:after="0"/>
        <w:jc w:val="both"/>
      </w:pPr>
      <w:r w:rsidRPr="00852BF1">
        <w:tab/>
        <w:t xml:space="preserve">Die </w:t>
      </w:r>
      <w:r w:rsidR="00862437" w:rsidRPr="00852BF1">
        <w:t>Gegenüberstellung von</w:t>
      </w:r>
      <w:r w:rsidRPr="00852BF1">
        <w:t xml:space="preserve"> „jüdischen“ und „politischen“ Emigranten </w:t>
      </w:r>
      <w:r w:rsidR="004A6776" w:rsidRPr="00852BF1">
        <w:t>ist</w:t>
      </w:r>
      <w:r w:rsidRPr="00852BF1">
        <w:t xml:space="preserve"> ein</w:t>
      </w:r>
      <w:r w:rsidR="00C250EB" w:rsidRPr="00852BF1">
        <w:t xml:space="preserve"> </w:t>
      </w:r>
      <w:r w:rsidRPr="00852BF1">
        <w:t xml:space="preserve">heikles, immer wieder neu akzentuiertes Thema. Julia Franke zitiert </w:t>
      </w:r>
      <w:r w:rsidR="007A61D6" w:rsidRPr="00852BF1">
        <w:t>als Beispiel</w:t>
      </w:r>
      <w:r w:rsidRPr="00852BF1">
        <w:t xml:space="preserve"> </w:t>
      </w:r>
      <w:r w:rsidR="004A6776" w:rsidRPr="00852BF1">
        <w:t xml:space="preserve">einen frühen Aufsatz von </w:t>
      </w:r>
      <w:r w:rsidR="00B75408" w:rsidRPr="00852BF1">
        <w:t>Alfred Kantorowicz</w:t>
      </w:r>
      <w:r w:rsidRPr="00852BF1">
        <w:t xml:space="preserve">. </w:t>
      </w:r>
      <w:r w:rsidR="00B75408" w:rsidRPr="00852BF1">
        <w:t xml:space="preserve">In den Formulierungen </w:t>
      </w:r>
      <w:r w:rsidR="00114823" w:rsidRPr="00852BF1">
        <w:t xml:space="preserve">dieses Aufsatzes </w:t>
      </w:r>
      <w:r w:rsidR="00B75408" w:rsidRPr="00852BF1">
        <w:t>wird ein problematisches Argumentationsmuster erkennbar</w:t>
      </w:r>
      <w:r w:rsidR="000B3292" w:rsidRPr="00852BF1">
        <w:t xml:space="preserve">: der Vergleich der jüdischen Emigranten mit den </w:t>
      </w:r>
      <w:r w:rsidR="00862437" w:rsidRPr="00852BF1">
        <w:t xml:space="preserve">deutschen </w:t>
      </w:r>
      <w:r w:rsidR="000B3292" w:rsidRPr="00852BF1">
        <w:rPr>
          <w:i/>
        </w:rPr>
        <w:t>Arbeitslosen</w:t>
      </w:r>
      <w:r w:rsidR="00B75408" w:rsidRPr="00852BF1">
        <w:t xml:space="preserve">. </w:t>
      </w:r>
      <w:r w:rsidR="002819B3" w:rsidRPr="00852BF1">
        <w:t>Dies</w:t>
      </w:r>
      <w:r w:rsidR="006B1196" w:rsidRPr="00852BF1">
        <w:t>e s</w:t>
      </w:r>
      <w:r w:rsidR="007A61D6" w:rsidRPr="00852BF1">
        <w:t>eien</w:t>
      </w:r>
      <w:r w:rsidR="006B1196" w:rsidRPr="00852BF1">
        <w:t xml:space="preserve"> in Deutschland geblieben – </w:t>
      </w:r>
      <w:r w:rsidR="006B1196" w:rsidRPr="00852BF1">
        <w:rPr>
          <w:i/>
        </w:rPr>
        <w:t>und h</w:t>
      </w:r>
      <w:r w:rsidR="007A61D6" w:rsidRPr="00852BF1">
        <w:rPr>
          <w:i/>
        </w:rPr>
        <w:t>ätt</w:t>
      </w:r>
      <w:r w:rsidR="006B1196" w:rsidRPr="00852BF1">
        <w:rPr>
          <w:i/>
        </w:rPr>
        <w:t>en den politischen Kampf gegen das Dritte Reich aufgenommen</w:t>
      </w:r>
      <w:r w:rsidR="004A6776" w:rsidRPr="00852BF1">
        <w:t>,</w:t>
      </w:r>
      <w:r w:rsidR="007A61D6" w:rsidRPr="00852BF1">
        <w:t xml:space="preserve"> s</w:t>
      </w:r>
      <w:r w:rsidR="006B1196" w:rsidRPr="00852BF1">
        <w:t>o der nicht ausgesprochene, aber in der Argumentation mi</w:t>
      </w:r>
      <w:r w:rsidR="006B1196" w:rsidRPr="00852BF1">
        <w:t>t</w:t>
      </w:r>
      <w:r w:rsidR="006B1196" w:rsidRPr="00852BF1">
        <w:t>schwingende Vorwurf –, während die jüdischen Flüchtlinge das leichtere Los: die Emigration, gewählt h</w:t>
      </w:r>
      <w:r w:rsidR="007A61D6" w:rsidRPr="00852BF1">
        <w:t>ätt</w:t>
      </w:r>
      <w:r w:rsidR="006B1196" w:rsidRPr="00852BF1">
        <w:t xml:space="preserve">en. </w:t>
      </w:r>
      <w:r w:rsidR="00CE70F1" w:rsidRPr="00852BF1">
        <w:t>Dabei sei</w:t>
      </w:r>
      <w:r w:rsidR="006B1196" w:rsidRPr="00852BF1">
        <w:t xml:space="preserve"> </w:t>
      </w:r>
      <w:r w:rsidR="00CE70F1" w:rsidRPr="00852BF1">
        <w:rPr>
          <w:i/>
        </w:rPr>
        <w:t xml:space="preserve">ihr </w:t>
      </w:r>
      <w:r w:rsidR="00CE70F1" w:rsidRPr="00852BF1">
        <w:t>Leben</w:t>
      </w:r>
      <w:r w:rsidR="00CE70F1" w:rsidRPr="00852BF1">
        <w:rPr>
          <w:i/>
        </w:rPr>
        <w:t xml:space="preserve"> </w:t>
      </w:r>
      <w:r w:rsidR="00CE70F1" w:rsidRPr="00852BF1">
        <w:t xml:space="preserve">bei ein einem Verbleib in Deutschland </w:t>
      </w:r>
      <w:r w:rsidR="006B1196" w:rsidRPr="00852BF1">
        <w:rPr>
          <w:i/>
        </w:rPr>
        <w:t>nicht</w:t>
      </w:r>
      <w:r w:rsidR="006B1196" w:rsidRPr="00852BF1">
        <w:t xml:space="preserve"> gefährdet</w:t>
      </w:r>
      <w:r w:rsidR="00CE70F1" w:rsidRPr="00852BF1">
        <w:t xml:space="preserve"> gewesen</w:t>
      </w:r>
      <w:r w:rsidRPr="00852BF1">
        <w:t>:</w:t>
      </w:r>
    </w:p>
    <w:p w:rsidR="0084134F" w:rsidRPr="00852BF1" w:rsidRDefault="0084134F" w:rsidP="007B3F3F">
      <w:pPr>
        <w:spacing w:after="0"/>
        <w:ind w:left="1134"/>
        <w:jc w:val="both"/>
      </w:pPr>
      <w:r w:rsidRPr="00852BF1">
        <w:t xml:space="preserve">„Man hat ihnen in Deutschland die Existenz genommen. […] Aber […] ist ihre Situation schwerer als die von […] Millionen Arbeitslosen in Deutschland? […] </w:t>
      </w:r>
      <w:r w:rsidRPr="00852BF1">
        <w:rPr>
          <w:i/>
        </w:rPr>
        <w:t>Schon heute wissen viele, dass sie besser getan hätten in Deutschland zu bl</w:t>
      </w:r>
      <w:r w:rsidR="00D5343C" w:rsidRPr="00852BF1">
        <w:rPr>
          <w:i/>
        </w:rPr>
        <w:t>e</w:t>
      </w:r>
      <w:r w:rsidRPr="00852BF1">
        <w:rPr>
          <w:i/>
        </w:rPr>
        <w:t>i</w:t>
      </w:r>
      <w:r w:rsidRPr="00852BF1">
        <w:rPr>
          <w:i/>
        </w:rPr>
        <w:t>ben</w:t>
      </w:r>
      <w:r w:rsidRPr="00852BF1">
        <w:t>.“</w:t>
      </w:r>
      <w:r w:rsidRPr="00852BF1">
        <w:rPr>
          <w:rStyle w:val="Funotenzeichen"/>
        </w:rPr>
        <w:footnoteReference w:id="32"/>
      </w:r>
    </w:p>
    <w:p w:rsidR="00B5296F" w:rsidRPr="00852BF1" w:rsidRDefault="00634DEC" w:rsidP="007B3F3F">
      <w:pPr>
        <w:spacing w:after="0"/>
        <w:jc w:val="both"/>
      </w:pPr>
      <w:r w:rsidRPr="00852BF1">
        <w:t xml:space="preserve">Kantorowicz‘ Formulierungen </w:t>
      </w:r>
      <w:r w:rsidR="00CE70F1" w:rsidRPr="00852BF1">
        <w:t>enthalten Zündstoff</w:t>
      </w:r>
      <w:r w:rsidRPr="00852BF1">
        <w:t>, denn sie negieren absichtsvoll das Fa</w:t>
      </w:r>
      <w:r w:rsidRPr="00852BF1">
        <w:t>k</w:t>
      </w:r>
      <w:r w:rsidRPr="00852BF1">
        <w:t>tum, dass die</w:t>
      </w:r>
      <w:r w:rsidR="00381DE8" w:rsidRPr="00852BF1">
        <w:t xml:space="preserve"> jüdischen</w:t>
      </w:r>
      <w:r w:rsidRPr="00852BF1">
        <w:t xml:space="preserve"> Emigranten </w:t>
      </w:r>
      <w:r w:rsidR="002819B3" w:rsidRPr="00852BF1">
        <w:rPr>
          <w:i/>
        </w:rPr>
        <w:t>ebenso</w:t>
      </w:r>
      <w:r w:rsidR="002819B3" w:rsidRPr="00852BF1">
        <w:t xml:space="preserve"> wie Gewerkschafter, Kommunisten und Sozia</w:t>
      </w:r>
      <w:r w:rsidR="002819B3" w:rsidRPr="00852BF1">
        <w:t>l</w:t>
      </w:r>
      <w:r w:rsidR="002819B3" w:rsidRPr="00852BF1">
        <w:t>demokraten</w:t>
      </w:r>
      <w:r w:rsidRPr="00852BF1">
        <w:rPr>
          <w:i/>
        </w:rPr>
        <w:t xml:space="preserve"> </w:t>
      </w:r>
      <w:r w:rsidRPr="00852BF1">
        <w:t xml:space="preserve">Verfolgungen ausgesetzt </w:t>
      </w:r>
      <w:r w:rsidR="004A6776" w:rsidRPr="00852BF1">
        <w:t xml:space="preserve">gewesen </w:t>
      </w:r>
      <w:r w:rsidRPr="00852BF1">
        <w:t>waren</w:t>
      </w:r>
      <w:r w:rsidR="002819B3" w:rsidRPr="00852BF1">
        <w:t xml:space="preserve">. </w:t>
      </w:r>
      <w:r w:rsidR="00830CFE" w:rsidRPr="00852BF1">
        <w:t>Sie</w:t>
      </w:r>
      <w:r w:rsidR="002819B3" w:rsidRPr="00852BF1">
        <w:t xml:space="preserve"> erwec</w:t>
      </w:r>
      <w:r w:rsidR="00830CFE" w:rsidRPr="00852BF1">
        <w:t>ken</w:t>
      </w:r>
      <w:r w:rsidR="002819B3" w:rsidRPr="00852BF1">
        <w:t xml:space="preserve"> außerdem den Eindruck, den jüdischen Flüchtlingen sei </w:t>
      </w:r>
      <w:r w:rsidR="00830CFE" w:rsidRPr="00852BF1">
        <w:rPr>
          <w:i/>
        </w:rPr>
        <w:t>noch immer</w:t>
      </w:r>
      <w:r w:rsidR="00830CFE" w:rsidRPr="00852BF1">
        <w:t xml:space="preserve"> die </w:t>
      </w:r>
      <w:r w:rsidRPr="00852BF1">
        <w:t xml:space="preserve">Rückkehr </w:t>
      </w:r>
      <w:r w:rsidR="00830CFE" w:rsidRPr="00852BF1">
        <w:t>offen</w:t>
      </w:r>
      <w:r w:rsidR="004A6776" w:rsidRPr="00852BF1">
        <w:t>: eine klare Verkennung der Realität</w:t>
      </w:r>
      <w:r w:rsidRPr="00852BF1">
        <w:rPr>
          <w:i/>
        </w:rPr>
        <w:t>.</w:t>
      </w:r>
      <w:r w:rsidRPr="00852BF1">
        <w:t xml:space="preserve"> </w:t>
      </w:r>
      <w:r w:rsidR="001E3A1D" w:rsidRPr="00852BF1">
        <w:t>–</w:t>
      </w:r>
      <w:r w:rsidR="006A31E9" w:rsidRPr="00852BF1">
        <w:t xml:space="preserve"> </w:t>
      </w:r>
      <w:r w:rsidR="001E3A1D" w:rsidRPr="00852BF1">
        <w:t>I</w:t>
      </w:r>
      <w:r w:rsidR="00B5296F" w:rsidRPr="00852BF1">
        <w:t xml:space="preserve">n </w:t>
      </w:r>
      <w:r w:rsidR="00114823" w:rsidRPr="00852BF1">
        <w:t>ein</w:t>
      </w:r>
      <w:r w:rsidR="00B5296F" w:rsidRPr="00852BF1">
        <w:t xml:space="preserve">em </w:t>
      </w:r>
      <w:r w:rsidR="00114823" w:rsidRPr="00852BF1">
        <w:t xml:space="preserve">Rückgriff auf den </w:t>
      </w:r>
      <w:r w:rsidR="00B5296F" w:rsidRPr="00852BF1">
        <w:t xml:space="preserve">Aufsatz „In unserem Lager ist Deutschland“ </w:t>
      </w:r>
      <w:r w:rsidRPr="00852BF1">
        <w:t>steigert</w:t>
      </w:r>
      <w:r w:rsidR="00B5296F" w:rsidRPr="00852BF1">
        <w:t xml:space="preserve"> Kantorowicz</w:t>
      </w:r>
      <w:r w:rsidRPr="00852BF1">
        <w:t xml:space="preserve"> die Angriffe</w:t>
      </w:r>
      <w:r w:rsidR="002819B3" w:rsidRPr="00852BF1">
        <w:t>:</w:t>
      </w:r>
    </w:p>
    <w:p w:rsidR="009310F4" w:rsidRPr="00852BF1" w:rsidRDefault="00B5296F" w:rsidP="007B3F3F">
      <w:pPr>
        <w:spacing w:after="0"/>
        <w:ind w:left="1134"/>
        <w:jc w:val="both"/>
      </w:pPr>
      <w:r w:rsidRPr="00852BF1">
        <w:t>„Selbstverständlich konnte nicht jeder, der aus Deutschland entlaufen [!] war, A</w:t>
      </w:r>
      <w:r w:rsidRPr="00852BF1">
        <w:t>n</w:t>
      </w:r>
      <w:r w:rsidRPr="00852BF1">
        <w:t>spruch machen, diesem Lager [</w:t>
      </w:r>
      <w:r w:rsidR="004A6776" w:rsidRPr="00852BF1">
        <w:t xml:space="preserve">hier </w:t>
      </w:r>
      <w:r w:rsidR="00114823" w:rsidRPr="00852BF1">
        <w:t>spielt</w:t>
      </w:r>
      <w:r w:rsidR="004A6776" w:rsidRPr="00852BF1">
        <w:t xml:space="preserve"> </w:t>
      </w:r>
      <w:r w:rsidR="00114823" w:rsidRPr="00852BF1">
        <w:t>Kantorowicz auf die von ihm formulie</w:t>
      </w:r>
      <w:r w:rsidR="00114823" w:rsidRPr="00852BF1">
        <w:t>r</w:t>
      </w:r>
      <w:r w:rsidR="00114823" w:rsidRPr="00852BF1">
        <w:t>te Programmatik</w:t>
      </w:r>
      <w:r w:rsidR="004A6776" w:rsidRPr="00852BF1">
        <w:t xml:space="preserve"> </w:t>
      </w:r>
      <w:r w:rsidRPr="00852BF1">
        <w:t>„</w:t>
      </w:r>
      <w:r w:rsidR="004A6776" w:rsidRPr="00852BF1">
        <w:t xml:space="preserve">In unserem </w:t>
      </w:r>
      <w:r w:rsidR="00114823" w:rsidRPr="00852BF1">
        <w:t>L</w:t>
      </w:r>
      <w:r w:rsidR="004A6776" w:rsidRPr="00852BF1">
        <w:t xml:space="preserve">ager ist </w:t>
      </w:r>
      <w:r w:rsidRPr="00852BF1">
        <w:t xml:space="preserve">Deutschland“ </w:t>
      </w:r>
      <w:r w:rsidR="00114823" w:rsidRPr="00852BF1">
        <w:t>an</w:t>
      </w:r>
      <w:r w:rsidRPr="00852BF1">
        <w:t xml:space="preserve">] zugerechnet zu werden. Die bewußte politische Emigration allein kandidierte für Zulaß. Jeder einzelne mußte sich durch zähen, ruhelosen, unermüdlichen </w:t>
      </w:r>
      <w:r w:rsidR="001E3A1D" w:rsidRPr="00852BF1">
        <w:t>K</w:t>
      </w:r>
      <w:r w:rsidRPr="00852BF1">
        <w:t>ampf unter schwersten B</w:t>
      </w:r>
      <w:r w:rsidRPr="00852BF1">
        <w:t>e</w:t>
      </w:r>
      <w:r w:rsidRPr="00852BF1">
        <w:t>dingungen, von Monat zu Mo</w:t>
      </w:r>
      <w:r w:rsidR="001E3A1D" w:rsidRPr="00852BF1">
        <w:t>n</w:t>
      </w:r>
      <w:r w:rsidRPr="00852BF1">
        <w:t>at, Woche zu Woche, Tag für Tag erneut qualif</w:t>
      </w:r>
      <w:r w:rsidRPr="00852BF1">
        <w:t>i</w:t>
      </w:r>
      <w:r w:rsidRPr="00852BF1">
        <w:t xml:space="preserve">zieren, dieser höchsten Ehre teilhaftig zu sein: dem auserwählten </w:t>
      </w:r>
      <w:r w:rsidR="002462DB" w:rsidRPr="00852BF1">
        <w:t>[!]</w:t>
      </w:r>
      <w:r w:rsidR="002462DB">
        <w:t xml:space="preserve"> </w:t>
      </w:r>
      <w:r w:rsidRPr="00852BF1">
        <w:t>Lager der a</w:t>
      </w:r>
      <w:r w:rsidRPr="00852BF1">
        <w:t>n</w:t>
      </w:r>
      <w:r w:rsidRPr="00852BF1">
        <w:t>tifaschistischen Avantgarde zugeordnet zu sein. Abgrenzung war notwendig. Al</w:t>
      </w:r>
      <w:r w:rsidRPr="00852BF1">
        <w:t>l</w:t>
      </w:r>
      <w:r w:rsidRPr="00852BF1">
        <w:t>zu viele machten Geschäfte mit dem Tatbestand der Emigration. Bis heute noch …“</w:t>
      </w:r>
      <w:r w:rsidRPr="00852BF1">
        <w:rPr>
          <w:rStyle w:val="Funotenzeichen"/>
        </w:rPr>
        <w:footnoteReference w:id="33"/>
      </w:r>
    </w:p>
    <w:p w:rsidR="001E3A1D" w:rsidRPr="00852BF1" w:rsidRDefault="001E3A1D" w:rsidP="007B3F3F">
      <w:pPr>
        <w:spacing w:after="0"/>
        <w:jc w:val="both"/>
      </w:pPr>
      <w:r w:rsidRPr="00852BF1">
        <w:lastRenderedPageBreak/>
        <w:t xml:space="preserve">Das sind Invektiven, die auch durch die Annahme, dass </w:t>
      </w:r>
      <w:r w:rsidR="00D0246C" w:rsidRPr="00852BF1">
        <w:t>aus ihnen</w:t>
      </w:r>
      <w:r w:rsidRPr="00852BF1">
        <w:t xml:space="preserve"> Verbitterung und narzisst</w:t>
      </w:r>
      <w:r w:rsidRPr="00852BF1">
        <w:t>i</w:t>
      </w:r>
      <w:r w:rsidRPr="00852BF1">
        <w:t xml:space="preserve">sche Kränkung </w:t>
      </w:r>
      <w:r w:rsidR="00D0246C" w:rsidRPr="00852BF1">
        <w:t>sprich</w:t>
      </w:r>
      <w:r w:rsidR="00183124" w:rsidRPr="00852BF1">
        <w:t>t</w:t>
      </w:r>
      <w:r w:rsidRPr="00852BF1">
        <w:t xml:space="preserve">, </w:t>
      </w:r>
      <w:r w:rsidR="00D0246C" w:rsidRPr="00852BF1">
        <w:t>kaum</w:t>
      </w:r>
      <w:r w:rsidRPr="00852BF1">
        <w:t xml:space="preserve"> zu entschuldigen sind.</w:t>
      </w:r>
    </w:p>
    <w:p w:rsidR="00381DE8" w:rsidRPr="00852BF1" w:rsidRDefault="00381DE8" w:rsidP="007B3F3F">
      <w:pPr>
        <w:spacing w:after="0"/>
        <w:jc w:val="both"/>
      </w:pPr>
    </w:p>
    <w:p w:rsidR="009310F4" w:rsidRPr="00852BF1" w:rsidRDefault="009442AF" w:rsidP="007B3F3F">
      <w:pPr>
        <w:spacing w:after="0"/>
        <w:jc w:val="both"/>
      </w:pPr>
      <w:r w:rsidRPr="00852BF1">
        <w:tab/>
        <w:t xml:space="preserve">In Kantorowicz‘ Äußerungen spiegelt sich die </w:t>
      </w:r>
      <w:r w:rsidR="00D0178B" w:rsidRPr="00852BF1">
        <w:t xml:space="preserve">aktuelle </w:t>
      </w:r>
      <w:r w:rsidRPr="00852BF1">
        <w:t xml:space="preserve">Parteilinie der KPD. Indem die KPD den Faschismus </w:t>
      </w:r>
      <w:r w:rsidR="00640F17" w:rsidRPr="00852BF1">
        <w:t>als „die offene, terroristische Diktatur der reaktionärsten, chauvini</w:t>
      </w:r>
      <w:r w:rsidR="00640F17" w:rsidRPr="00852BF1">
        <w:t>s</w:t>
      </w:r>
      <w:r w:rsidR="00640F17" w:rsidRPr="00852BF1">
        <w:t>tischsten, am meisten imperialistischen Elemente des Finanzkapitals“ definierte – so die sp</w:t>
      </w:r>
      <w:r w:rsidR="00640F17" w:rsidRPr="00852BF1">
        <w:t>ä</w:t>
      </w:r>
      <w:r w:rsidR="00640F17" w:rsidRPr="00852BF1">
        <w:t xml:space="preserve">tere Definition durch Dimitrow –, erklärte sie den nationalsozialistischen Antisemitismus </w:t>
      </w:r>
      <w:r w:rsidR="00D0178B" w:rsidRPr="00852BF1">
        <w:t>i</w:t>
      </w:r>
      <w:r w:rsidR="00D0178B" w:rsidRPr="00852BF1">
        <w:t>m</w:t>
      </w:r>
      <w:r w:rsidR="00D0178B" w:rsidRPr="00852BF1">
        <w:t>plizit</w:t>
      </w:r>
      <w:r w:rsidR="00640F17" w:rsidRPr="00852BF1">
        <w:t xml:space="preserve"> zu einem Randphänomen</w:t>
      </w:r>
      <w:r w:rsidR="00D0178B" w:rsidRPr="00852BF1">
        <w:t xml:space="preserve"> der gesellschaftlichen Konflikte</w:t>
      </w:r>
      <w:r w:rsidR="00640F17" w:rsidRPr="00852BF1">
        <w:t xml:space="preserve">. </w:t>
      </w:r>
      <w:r w:rsidR="00D0178B" w:rsidRPr="00852BF1">
        <w:t>– H</w:t>
      </w:r>
      <w:r w:rsidR="00640F17" w:rsidRPr="00852BF1">
        <w:t xml:space="preserve">orst Duhnke hat </w:t>
      </w:r>
      <w:r w:rsidR="00D0178B" w:rsidRPr="00852BF1">
        <w:t xml:space="preserve">in seiner Untersuchung über die politisch-ideologische Ausrichtung der KPD zwischen 1933 und 1945 </w:t>
      </w:r>
      <w:r w:rsidR="00640F17" w:rsidRPr="00852BF1">
        <w:t>dieses politisch-ideologische Dilemma klar benannt:</w:t>
      </w:r>
    </w:p>
    <w:p w:rsidR="005D414C" w:rsidRPr="00852BF1" w:rsidRDefault="00640F17" w:rsidP="007B3F3F">
      <w:pPr>
        <w:spacing w:after="0"/>
        <w:ind w:left="1134"/>
        <w:jc w:val="both"/>
      </w:pPr>
      <w:r w:rsidRPr="00852BF1">
        <w:t>„Für eine Partei, die den Terror eines ‚faschistischen‘ Regimes lediglich als let</w:t>
      </w:r>
      <w:r w:rsidRPr="00852BF1">
        <w:t>z</w:t>
      </w:r>
      <w:r w:rsidRPr="00852BF1">
        <w:t>ten, verzweifelten Versuch der Kapitalisten ansah, die anschwellende Flut der pr</w:t>
      </w:r>
      <w:r w:rsidRPr="00852BF1">
        <w:t>o</w:t>
      </w:r>
      <w:r w:rsidRPr="00852BF1">
        <w:t xml:space="preserve">letarischen Revolution aufzuhalten, bot der antisemitische Terror natürlich schwierige theoretische Probleme, die nur durch eine verzerrende Darstellung der judenfeindlichen Maßnahmen des Nazi-Regimes verdeckt werden konnten. Die Vernichtung der jüdischen Konkurrenz, erklärte ein anonymer Autor in der </w:t>
      </w:r>
      <w:r w:rsidRPr="00852BF1">
        <w:rPr>
          <w:i/>
        </w:rPr>
        <w:t>Run</w:t>
      </w:r>
      <w:r w:rsidRPr="00852BF1">
        <w:rPr>
          <w:i/>
        </w:rPr>
        <w:t>d</w:t>
      </w:r>
      <w:r w:rsidRPr="00852BF1">
        <w:rPr>
          <w:i/>
        </w:rPr>
        <w:t>schau,</w:t>
      </w:r>
      <w:r w:rsidRPr="00852BF1">
        <w:t xml:space="preserve"> ist lediglich eine Frage materieller Interessen, des Anstu</w:t>
      </w:r>
      <w:r w:rsidR="006F0D24" w:rsidRPr="00852BF1">
        <w:t>r</w:t>
      </w:r>
      <w:r w:rsidRPr="00852BF1">
        <w:t>ms auf Arbeit</w:t>
      </w:r>
      <w:r w:rsidRPr="00852BF1">
        <w:t>s</w:t>
      </w:r>
      <w:r w:rsidRPr="00852BF1">
        <w:t xml:space="preserve">plätze; man will damit von der Tatsache </w:t>
      </w:r>
      <w:r w:rsidR="00096937" w:rsidRPr="00852BF1">
        <w:t>ablenken, daß der Faschismus den Kap</w:t>
      </w:r>
      <w:r w:rsidR="00096937" w:rsidRPr="00852BF1">
        <w:t>i</w:t>
      </w:r>
      <w:r w:rsidR="00096937" w:rsidRPr="00852BF1">
        <w:t>talismus aufrechterhält und sichert. Offiziell erklärte die KPD darüber hinaus, daß nur eine kleine Anzahl jüdischer Geschäftsleute verfolgt würde, um die antikapit</w:t>
      </w:r>
      <w:r w:rsidR="00096937" w:rsidRPr="00852BF1">
        <w:t>a</w:t>
      </w:r>
      <w:r w:rsidR="00096937" w:rsidRPr="00852BF1">
        <w:t>listischen Forderungen der Kleinbourgeoisie zu befriedigen. Es werde sich schon sehr bald herausstellen, daß kein jüdischer Industrieller irgendwelchen Schaden genommen habe.“</w:t>
      </w:r>
      <w:r w:rsidR="00096937" w:rsidRPr="00852BF1">
        <w:rPr>
          <w:rStyle w:val="Funotenzeichen"/>
        </w:rPr>
        <w:footnoteReference w:id="34"/>
      </w:r>
      <w:r w:rsidRPr="00852BF1">
        <w:t xml:space="preserve"> </w:t>
      </w:r>
    </w:p>
    <w:p w:rsidR="006B4085" w:rsidRPr="00852BF1" w:rsidRDefault="006B4085" w:rsidP="007B3F3F">
      <w:pPr>
        <w:spacing w:after="0"/>
        <w:jc w:val="both"/>
      </w:pPr>
      <w:r w:rsidRPr="00852BF1">
        <w:t>Bisweilen ha</w:t>
      </w:r>
      <w:r w:rsidR="00C825F8" w:rsidRPr="00852BF1">
        <w:t>b</w:t>
      </w:r>
      <w:r w:rsidRPr="00852BF1">
        <w:t>en die Folgerungen, die kommunistische Emigranten aus dieser Analyse z</w:t>
      </w:r>
      <w:r w:rsidR="00C825F8" w:rsidRPr="00852BF1">
        <w:t>ieh</w:t>
      </w:r>
      <w:r w:rsidRPr="00852BF1">
        <w:t xml:space="preserve">en, </w:t>
      </w:r>
      <w:r w:rsidR="00CA25D1" w:rsidRPr="00852BF1">
        <w:t>erschreckend</w:t>
      </w:r>
      <w:r w:rsidRPr="00852BF1">
        <w:t xml:space="preserve"> diffamierenden Charakter. </w:t>
      </w:r>
      <w:r w:rsidR="00C825F8" w:rsidRPr="00852BF1">
        <w:t>Erneut weist Julia Franke hier auf einen frühen Art</w:t>
      </w:r>
      <w:r w:rsidR="00C825F8" w:rsidRPr="00852BF1">
        <w:t>i</w:t>
      </w:r>
      <w:r w:rsidR="00C825F8" w:rsidRPr="00852BF1">
        <w:t>kel von Alfred Kanto</w:t>
      </w:r>
      <w:r w:rsidR="00D5343C" w:rsidRPr="00852BF1">
        <w:t>ro</w:t>
      </w:r>
      <w:r w:rsidR="00C825F8" w:rsidRPr="00852BF1">
        <w:t>wicz hin.</w:t>
      </w:r>
      <w:r w:rsidR="00C825F8" w:rsidRPr="00852BF1">
        <w:rPr>
          <w:rStyle w:val="Funotenzeichen"/>
        </w:rPr>
        <w:footnoteReference w:id="35"/>
      </w:r>
      <w:r w:rsidR="00C825F8" w:rsidRPr="00852BF1">
        <w:t xml:space="preserve"> Seine politische Zielrichtung ist repräsentativ für den „ul</w:t>
      </w:r>
      <w:r w:rsidR="00C825F8" w:rsidRPr="00852BF1">
        <w:t>t</w:t>
      </w:r>
      <w:r w:rsidR="00C825F8" w:rsidRPr="00852BF1">
        <w:t>ralinken“ Kurs der KPD zu dieser Zeit.</w:t>
      </w:r>
      <w:r w:rsidR="0043787B" w:rsidRPr="00852BF1">
        <w:rPr>
          <w:rStyle w:val="Funotenzeichen"/>
        </w:rPr>
        <w:footnoteReference w:id="36"/>
      </w:r>
      <w:r w:rsidR="00C825F8" w:rsidRPr="00852BF1">
        <w:t xml:space="preserve"> Gegenstand des Artikels ist die Forderung, die Re</w:t>
      </w:r>
      <w:r w:rsidR="00C825F8" w:rsidRPr="00852BF1">
        <w:t>s</w:t>
      </w:r>
      <w:r w:rsidR="00C825F8" w:rsidRPr="00852BF1">
        <w:t xml:space="preserve">sourcen der Hilfskomitees primär den </w:t>
      </w:r>
      <w:r w:rsidR="0043787B" w:rsidRPr="00852BF1">
        <w:t>„</w:t>
      </w:r>
      <w:r w:rsidR="00C825F8" w:rsidRPr="00852BF1">
        <w:t>politischen</w:t>
      </w:r>
      <w:r w:rsidR="0043787B" w:rsidRPr="00852BF1">
        <w:t>“</w:t>
      </w:r>
      <w:r w:rsidR="00C825F8" w:rsidRPr="00852BF1">
        <w:t xml:space="preserve"> Flüchtlingen und nicht den </w:t>
      </w:r>
      <w:r w:rsidR="0043787B" w:rsidRPr="00852BF1">
        <w:t xml:space="preserve">(jüdischen) </w:t>
      </w:r>
      <w:r w:rsidR="00C825F8" w:rsidRPr="00852BF1">
        <w:t xml:space="preserve">„Geschäftemachern“ zukommen </w:t>
      </w:r>
      <w:r w:rsidR="00CA25D1" w:rsidRPr="00852BF1">
        <w:t>zu lass</w:t>
      </w:r>
      <w:r w:rsidR="00C825F8" w:rsidRPr="00852BF1">
        <w:t>en:</w:t>
      </w:r>
    </w:p>
    <w:p w:rsidR="006B4085" w:rsidRPr="00852BF1" w:rsidRDefault="00C825F8" w:rsidP="007B3F3F">
      <w:pPr>
        <w:spacing w:after="0"/>
        <w:ind w:left="1134"/>
        <w:jc w:val="both"/>
      </w:pPr>
      <w:r w:rsidRPr="00852BF1">
        <w:t>„Wir wissen wohl, dass Frankreich, welches seine Grenzen allen Flüchtlingen g</w:t>
      </w:r>
      <w:r w:rsidRPr="00852BF1">
        <w:t>e</w:t>
      </w:r>
      <w:r w:rsidRPr="00852BF1">
        <w:t>öffnet hat, nicht für alle sorgen können wird. Wir wissen, dass auch in Frankreich hunderttausende arbeitslos sind, tausende hungern. Und wir wissen, dass Auslese nottut. […] Jene, die heute in Hitlerdeutschland brotlos geworden sind, […] we</w:t>
      </w:r>
      <w:r w:rsidRPr="00852BF1">
        <w:t>r</w:t>
      </w:r>
      <w:r w:rsidRPr="00852BF1">
        <w:t xml:space="preserve">den protestieren, wenn sie sich hier nicht unter denen kategorisiert finden, denen die vordringlichste und rascheste Hilfe gebührt. […] Ihnen [den Réfugiés] gilt vornehmlich die Gastfreundschaft Frankreichs, das den </w:t>
      </w:r>
      <w:r w:rsidRPr="00852BF1">
        <w:rPr>
          <w:i/>
        </w:rPr>
        <w:t>politischen Flüchtlingen</w:t>
      </w:r>
      <w:r w:rsidRPr="00852BF1">
        <w:t>, nicht aber den Geschäftemachern die Grenzen geöffnet hat. […]</w:t>
      </w:r>
    </w:p>
    <w:p w:rsidR="00C825F8" w:rsidRPr="00852BF1" w:rsidRDefault="00C825F8" w:rsidP="007B3F3F">
      <w:pPr>
        <w:spacing w:after="0"/>
        <w:ind w:left="1134"/>
        <w:jc w:val="both"/>
      </w:pPr>
      <w:r w:rsidRPr="00852BF1">
        <w:t>Die Mittel dieses Komitees [Comité d’aide et d‘accueil] sind beträchtlich und sie sind in ausserordentlichem Ma</w:t>
      </w:r>
      <w:r w:rsidR="00CA25D1" w:rsidRPr="00852BF1">
        <w:t>[ß]</w:t>
      </w:r>
      <w:r w:rsidRPr="00852BF1">
        <w:t xml:space="preserve">e in Anspruch genommen worden – leider zum </w:t>
      </w:r>
      <w:r w:rsidRPr="00852BF1">
        <w:lastRenderedPageBreak/>
        <w:t>erheblichen Teil auch von solchen, deren Qualifikation als Unterstützungsem</w:t>
      </w:r>
      <w:r w:rsidRPr="00852BF1">
        <w:t>p</w:t>
      </w:r>
      <w:r w:rsidRPr="00852BF1">
        <w:t>fäng</w:t>
      </w:r>
      <w:r w:rsidR="0043787B" w:rsidRPr="00852BF1">
        <w:t>e</w:t>
      </w:r>
      <w:r w:rsidRPr="00852BF1">
        <w:t>r angezweifelt werden muss.“</w:t>
      </w:r>
    </w:p>
    <w:p w:rsidR="006B4085" w:rsidRPr="00852BF1" w:rsidRDefault="000B39C0" w:rsidP="007B3F3F">
      <w:pPr>
        <w:spacing w:after="0"/>
        <w:jc w:val="both"/>
      </w:pPr>
      <w:r w:rsidRPr="00852BF1">
        <w:t>D</w:t>
      </w:r>
      <w:r w:rsidR="00CA25D1" w:rsidRPr="00852BF1">
        <w:t xml:space="preserve">ie Forderung, seitens der Hilfskomitees </w:t>
      </w:r>
      <w:r w:rsidR="00CA1721" w:rsidRPr="00852BF1">
        <w:t xml:space="preserve">Unterstützung </w:t>
      </w:r>
      <w:r w:rsidR="00CA25D1" w:rsidRPr="00852BF1">
        <w:t>vor allem den Flüchtlingen zuko</w:t>
      </w:r>
      <w:r w:rsidR="00CA25D1" w:rsidRPr="00852BF1">
        <w:t>m</w:t>
      </w:r>
      <w:r w:rsidR="00CA25D1" w:rsidRPr="00852BF1">
        <w:t xml:space="preserve">men zu lassen, die der Hilfe am stärksten bedürfen, </w:t>
      </w:r>
      <w:r w:rsidRPr="00852BF1">
        <w:t xml:space="preserve">ist </w:t>
      </w:r>
      <w:r w:rsidR="00CA25D1" w:rsidRPr="00852BF1">
        <w:t>plausibel. Die Unterstellung jedoch, dass die Unterstützung bislang insbesondere „Geschäftemachern“ zugutegekommen sei, ist infam und diffamierend.</w:t>
      </w:r>
    </w:p>
    <w:p w:rsidR="006B4085" w:rsidRPr="00852BF1" w:rsidRDefault="006B4085" w:rsidP="007B3F3F">
      <w:pPr>
        <w:spacing w:after="0"/>
        <w:jc w:val="both"/>
      </w:pPr>
    </w:p>
    <w:p w:rsidR="007462C1" w:rsidRDefault="00A7235E" w:rsidP="007F1088">
      <w:pPr>
        <w:spacing w:after="0"/>
        <w:jc w:val="center"/>
        <w:rPr>
          <w:b/>
        </w:rPr>
      </w:pPr>
      <w:r w:rsidRPr="00852BF1">
        <w:rPr>
          <w:b/>
        </w:rPr>
        <w:t>*</w:t>
      </w:r>
    </w:p>
    <w:p w:rsidR="002462DB" w:rsidRPr="00852BF1" w:rsidRDefault="002462DB" w:rsidP="007B3F3F">
      <w:pPr>
        <w:spacing w:after="0"/>
        <w:jc w:val="both"/>
        <w:rPr>
          <w:b/>
        </w:rPr>
      </w:pPr>
    </w:p>
    <w:p w:rsidR="00D10C71" w:rsidRPr="00852BF1" w:rsidRDefault="00901AF9" w:rsidP="007B3F3F">
      <w:pPr>
        <w:spacing w:after="0"/>
        <w:jc w:val="both"/>
      </w:pPr>
      <w:r w:rsidRPr="00852BF1">
        <w:tab/>
      </w:r>
      <w:r w:rsidR="00C201BB" w:rsidRPr="00852BF1">
        <w:t xml:space="preserve">Die Unterscheidung zwischen „politischer“ und „jüdischer“ Emigration taucht in der Exilliteratur in einer Vielzahl von Texten auf, in Bertolt Brechts Drama </w:t>
      </w:r>
      <w:r w:rsidR="00C201BB" w:rsidRPr="00852BF1">
        <w:rPr>
          <w:i/>
        </w:rPr>
        <w:t>Die Rundköpfe und die Spitzköpfe</w:t>
      </w:r>
      <w:r w:rsidR="00C201BB" w:rsidRPr="00852BF1">
        <w:t xml:space="preserve"> z.B. in Gestalt der von der KPD in der Anfangsphase der NS-Herrschaft vertr</w:t>
      </w:r>
      <w:r w:rsidR="00C201BB" w:rsidRPr="00852BF1">
        <w:t>e</w:t>
      </w:r>
      <w:r w:rsidR="00C201BB" w:rsidRPr="00852BF1">
        <w:t xml:space="preserve">tenen These, </w:t>
      </w:r>
      <w:r w:rsidRPr="00852BF1">
        <w:t xml:space="preserve">die </w:t>
      </w:r>
      <w:r w:rsidR="004B0D8B" w:rsidRPr="00852BF1">
        <w:t xml:space="preserve">Rassenideologie </w:t>
      </w:r>
      <w:r w:rsidR="00C201BB" w:rsidRPr="00852BF1">
        <w:t xml:space="preserve">diene </w:t>
      </w:r>
      <w:r w:rsidR="003C5520" w:rsidRPr="00852BF1">
        <w:t xml:space="preserve">dem Kapital </w:t>
      </w:r>
      <w:r w:rsidR="00D10C71" w:rsidRPr="00852BF1">
        <w:t xml:space="preserve">als </w:t>
      </w:r>
      <w:r w:rsidR="00A47B0F" w:rsidRPr="00852BF1">
        <w:t xml:space="preserve">Instrument, </w:t>
      </w:r>
      <w:r w:rsidR="003C5520" w:rsidRPr="00852BF1">
        <w:t xml:space="preserve">das Proletariat zu spalten und damit </w:t>
      </w:r>
      <w:r w:rsidR="00F72CBA" w:rsidRPr="00852BF1">
        <w:t xml:space="preserve">das </w:t>
      </w:r>
      <w:r w:rsidR="00DE7101" w:rsidRPr="00852BF1">
        <w:t xml:space="preserve">aktuelle System politischer </w:t>
      </w:r>
      <w:r w:rsidR="003C5520" w:rsidRPr="00852BF1">
        <w:t>Herrschaftss</w:t>
      </w:r>
      <w:r w:rsidR="00F72CBA" w:rsidRPr="00852BF1">
        <w:t>ystem zu stabilisier</w:t>
      </w:r>
      <w:r w:rsidR="008E7C5E" w:rsidRPr="00852BF1">
        <w:t>en</w:t>
      </w:r>
      <w:r w:rsidR="00C201BB" w:rsidRPr="00852BF1">
        <w:t>.</w:t>
      </w:r>
      <w:r w:rsidR="00D10C71" w:rsidRPr="00852BF1">
        <w:t xml:space="preserve"> </w:t>
      </w:r>
      <w:r w:rsidR="00D45397" w:rsidRPr="00852BF1">
        <w:t>D</w:t>
      </w:r>
      <w:r w:rsidR="003C5520" w:rsidRPr="00852BF1">
        <w:t>as</w:t>
      </w:r>
      <w:r w:rsidR="00D45397" w:rsidRPr="00852BF1">
        <w:t xml:space="preserve"> </w:t>
      </w:r>
      <w:r w:rsidR="00C201BB" w:rsidRPr="00852BF1">
        <w:t>auf der B</w:t>
      </w:r>
      <w:r w:rsidR="00C201BB" w:rsidRPr="00852BF1">
        <w:t>a</w:t>
      </w:r>
      <w:r w:rsidR="00C201BB" w:rsidRPr="00852BF1">
        <w:t xml:space="preserve">sis dieser These entwickelte </w:t>
      </w:r>
      <w:r w:rsidR="00247E89" w:rsidRPr="00852BF1">
        <w:t>Parabels</w:t>
      </w:r>
      <w:r w:rsidR="00D45397" w:rsidRPr="00852BF1">
        <w:t>tück</w:t>
      </w:r>
      <w:r w:rsidR="00152179" w:rsidRPr="00852BF1">
        <w:t xml:space="preserve"> </w:t>
      </w:r>
      <w:r w:rsidR="003C5520" w:rsidRPr="00852BF1">
        <w:t>m</w:t>
      </w:r>
      <w:r w:rsidR="00647B1D" w:rsidRPr="00852BF1">
        <w:t xml:space="preserve">utet </w:t>
      </w:r>
      <w:r w:rsidR="005D6517" w:rsidRPr="00852BF1">
        <w:t>wie</w:t>
      </w:r>
      <w:r w:rsidR="00D45397" w:rsidRPr="00852BF1">
        <w:t xml:space="preserve"> eine blutleere Konstruktion über </w:t>
      </w:r>
      <w:r w:rsidR="00F73600" w:rsidRPr="00852BF1">
        <w:t xml:space="preserve">die </w:t>
      </w:r>
      <w:r w:rsidR="002C4ABE" w:rsidRPr="00852BF1">
        <w:t xml:space="preserve">Wechselabhängigkeit </w:t>
      </w:r>
      <w:r w:rsidR="00D45397" w:rsidRPr="00852BF1">
        <w:t xml:space="preserve">und </w:t>
      </w:r>
      <w:r w:rsidR="002C4ABE" w:rsidRPr="00852BF1">
        <w:t xml:space="preserve">Mechanik </w:t>
      </w:r>
      <w:r w:rsidR="00D45397" w:rsidRPr="00852BF1">
        <w:t xml:space="preserve">ökonomischer und politischer </w:t>
      </w:r>
      <w:r w:rsidR="002C4ABE" w:rsidRPr="00852BF1">
        <w:t>Macht</w:t>
      </w:r>
      <w:r w:rsidR="00647B1D" w:rsidRPr="00852BF1">
        <w:t xml:space="preserve"> an</w:t>
      </w:r>
      <w:r w:rsidR="00D45397" w:rsidRPr="00852BF1">
        <w:t>.</w:t>
      </w:r>
      <w:r w:rsidR="00441A3F" w:rsidRPr="00852BF1">
        <w:rPr>
          <w:rStyle w:val="Funotenzeichen"/>
        </w:rPr>
        <w:footnoteReference w:id="37"/>
      </w:r>
      <w:r w:rsidR="00980912" w:rsidRPr="00852BF1">
        <w:t xml:space="preserve"> </w:t>
      </w:r>
      <w:r w:rsidR="00D45397" w:rsidRPr="00852BF1">
        <w:t xml:space="preserve">Der </w:t>
      </w:r>
      <w:r w:rsidR="00981BAC" w:rsidRPr="00852BF1">
        <w:t>tatsächl</w:t>
      </w:r>
      <w:r w:rsidR="00981BAC" w:rsidRPr="00852BF1">
        <w:t>i</w:t>
      </w:r>
      <w:r w:rsidR="00981BAC" w:rsidRPr="00852BF1">
        <w:t>chen Gestalt</w:t>
      </w:r>
      <w:r w:rsidR="00D45397" w:rsidRPr="00852BF1">
        <w:t xml:space="preserve"> </w:t>
      </w:r>
      <w:r w:rsidR="00C33BBF" w:rsidRPr="00852BF1">
        <w:t xml:space="preserve">politisch wie </w:t>
      </w:r>
      <w:r w:rsidR="00D45397" w:rsidRPr="00852BF1">
        <w:t>rassistisch</w:t>
      </w:r>
      <w:r w:rsidR="00981BAC" w:rsidRPr="00852BF1">
        <w:t xml:space="preserve"> motivierte</w:t>
      </w:r>
      <w:r w:rsidR="00152179" w:rsidRPr="00852BF1">
        <w:t>r</w:t>
      </w:r>
      <w:r w:rsidR="00D45397" w:rsidRPr="00852BF1">
        <w:t xml:space="preserve"> Verfolgung wird </w:t>
      </w:r>
      <w:r w:rsidR="00DE7101" w:rsidRPr="00852BF1">
        <w:t>es</w:t>
      </w:r>
      <w:r w:rsidR="00D45397" w:rsidRPr="00852BF1">
        <w:t xml:space="preserve"> </w:t>
      </w:r>
      <w:r w:rsidR="00FA7F25" w:rsidRPr="00852BF1">
        <w:t>in keiner Weise</w:t>
      </w:r>
      <w:r w:rsidR="00D45397" w:rsidRPr="00852BF1">
        <w:t xml:space="preserve"> gerecht</w:t>
      </w:r>
      <w:r w:rsidR="00FA7F25" w:rsidRPr="00852BF1">
        <w:t xml:space="preserve"> – im Gegenteil: es denunziert</w:t>
      </w:r>
      <w:r w:rsidR="00D45397" w:rsidRPr="00852BF1">
        <w:t xml:space="preserve">. </w:t>
      </w:r>
      <w:r w:rsidR="00DE7101" w:rsidRPr="00852BF1">
        <w:t xml:space="preserve">Lässt der Zuschauer </w:t>
      </w:r>
      <w:r w:rsidR="00C201BB" w:rsidRPr="00852BF1">
        <w:t xml:space="preserve">jedoch </w:t>
      </w:r>
      <w:r w:rsidR="00DE7101" w:rsidRPr="00852BF1">
        <w:t>die</w:t>
      </w:r>
      <w:r w:rsidR="00152179" w:rsidRPr="00852BF1">
        <w:t xml:space="preserve"> zeitgeschichtlichen</w:t>
      </w:r>
      <w:r w:rsidR="00247E89" w:rsidRPr="00852BF1">
        <w:t xml:space="preserve"> </w:t>
      </w:r>
      <w:r w:rsidR="00DE7101" w:rsidRPr="00852BF1">
        <w:t>Implikati</w:t>
      </w:r>
      <w:r w:rsidR="00DE7101" w:rsidRPr="00852BF1">
        <w:t>o</w:t>
      </w:r>
      <w:r w:rsidR="00DE7101" w:rsidRPr="00852BF1">
        <w:t xml:space="preserve">nen außer Betracht und konzentriert sich </w:t>
      </w:r>
      <w:r w:rsidR="002C4ABE" w:rsidRPr="00852BF1">
        <w:t xml:space="preserve">ausschließlich </w:t>
      </w:r>
      <w:r w:rsidR="00DE7101" w:rsidRPr="00852BF1">
        <w:t>auf die artistische Konstruktion, wird ein virtuoses Spiel mit unterschiedlichen Handlungs-, Sprach- und Stilebenen</w:t>
      </w:r>
      <w:r w:rsidR="002C4ABE" w:rsidRPr="00852BF1">
        <w:t xml:space="preserve"> sichtbar</w:t>
      </w:r>
      <w:r w:rsidR="00DE7101" w:rsidRPr="00852BF1">
        <w:t xml:space="preserve">. </w:t>
      </w:r>
      <w:r w:rsidR="00152179" w:rsidRPr="00852BF1">
        <w:t>In di</w:t>
      </w:r>
      <w:r w:rsidR="00152179" w:rsidRPr="00852BF1">
        <w:t>e</w:t>
      </w:r>
      <w:r w:rsidR="00152179" w:rsidRPr="00852BF1">
        <w:t xml:space="preserve">sem Augenblick wird auch </w:t>
      </w:r>
      <w:r w:rsidR="00C201BB" w:rsidRPr="00852BF1">
        <w:t>verständlich</w:t>
      </w:r>
      <w:r w:rsidR="00152179" w:rsidRPr="00852BF1">
        <w:t>, dass das Drama u</w:t>
      </w:r>
      <w:r w:rsidR="00247E89" w:rsidRPr="00852BF1">
        <w:t xml:space="preserve">rsprünglich als Neubearbeitung von Shakespeares </w:t>
      </w:r>
      <w:r w:rsidR="00247E89" w:rsidRPr="00852BF1">
        <w:rPr>
          <w:i/>
        </w:rPr>
        <w:t>Maß für Maß</w:t>
      </w:r>
      <w:r w:rsidR="00247E89" w:rsidRPr="00852BF1">
        <w:t xml:space="preserve"> konzipiert worden</w:t>
      </w:r>
      <w:r w:rsidR="00152179" w:rsidRPr="00852BF1">
        <w:t xml:space="preserve"> war, </w:t>
      </w:r>
      <w:r w:rsidR="00D14A6F" w:rsidRPr="00852BF1">
        <w:t>also als ein kunstvolles Spiel mit literar</w:t>
      </w:r>
      <w:r w:rsidR="00D14A6F" w:rsidRPr="00852BF1">
        <w:t>i</w:t>
      </w:r>
      <w:r w:rsidR="00D14A6F" w:rsidRPr="00852BF1">
        <w:t>schen Anspielungen und Mustern</w:t>
      </w:r>
      <w:r w:rsidR="00247E89" w:rsidRPr="00852BF1">
        <w:t>.</w:t>
      </w:r>
      <w:r w:rsidR="00247E89" w:rsidRPr="00852BF1">
        <w:rPr>
          <w:rStyle w:val="Funotenzeichen"/>
        </w:rPr>
        <w:footnoteReference w:id="38"/>
      </w:r>
      <w:r w:rsidR="00247E89" w:rsidRPr="00852BF1">
        <w:t xml:space="preserve"> </w:t>
      </w:r>
    </w:p>
    <w:p w:rsidR="00514BCC" w:rsidRPr="00852BF1" w:rsidRDefault="00FA7F25" w:rsidP="007B3F3F">
      <w:pPr>
        <w:spacing w:after="0"/>
        <w:jc w:val="both"/>
      </w:pPr>
      <w:r w:rsidRPr="00852BF1">
        <w:tab/>
      </w:r>
      <w:r w:rsidR="00514BCC" w:rsidRPr="00852BF1">
        <w:t xml:space="preserve">Lion Feuchtwangers Roman </w:t>
      </w:r>
      <w:r w:rsidR="00514BCC" w:rsidRPr="00852BF1">
        <w:rPr>
          <w:i/>
        </w:rPr>
        <w:t xml:space="preserve">Exil </w:t>
      </w:r>
      <w:r w:rsidR="00514BCC" w:rsidRPr="00852BF1">
        <w:t xml:space="preserve">ist </w:t>
      </w:r>
      <w:r w:rsidR="00481107" w:rsidRPr="00852BF1">
        <w:t>das bekannteste</w:t>
      </w:r>
      <w:r w:rsidR="00514BCC" w:rsidRPr="00852BF1">
        <w:t xml:space="preserve"> Beispiel für</w:t>
      </w:r>
      <w:r w:rsidR="00481107" w:rsidRPr="00852BF1">
        <w:t xml:space="preserve"> eine dem Exil nicht adäquate Dichotomie, </w:t>
      </w:r>
      <w:r w:rsidR="00CD451D" w:rsidRPr="00852BF1">
        <w:t>bei der</w:t>
      </w:r>
      <w:r w:rsidR="00481107" w:rsidRPr="00852BF1">
        <w:t xml:space="preserve"> zwischen „freiwilliger“ und „erzwungener“ Emigration unte</w:t>
      </w:r>
      <w:r w:rsidR="00481107" w:rsidRPr="00852BF1">
        <w:t>r</w:t>
      </w:r>
      <w:r w:rsidR="00481107" w:rsidRPr="00852BF1">
        <w:t>schi</w:t>
      </w:r>
      <w:r w:rsidR="00CD451D" w:rsidRPr="00852BF1">
        <w:t>e</w:t>
      </w:r>
      <w:r w:rsidR="00481107" w:rsidRPr="00852BF1">
        <w:t>de</w:t>
      </w:r>
      <w:r w:rsidR="00CD451D" w:rsidRPr="00852BF1">
        <w:t>n wird</w:t>
      </w:r>
      <w:r w:rsidR="00481107" w:rsidRPr="00852BF1">
        <w:t xml:space="preserve">. </w:t>
      </w:r>
      <w:r w:rsidR="00514BCC" w:rsidRPr="00852BF1">
        <w:t>In dem Kapitel „Trübe Gäste“</w:t>
      </w:r>
      <w:r w:rsidR="00424E12" w:rsidRPr="00852BF1">
        <w:t xml:space="preserve"> </w:t>
      </w:r>
      <w:r w:rsidR="00410981" w:rsidRPr="00852BF1">
        <w:t>heißt es</w:t>
      </w:r>
      <w:r w:rsidR="00424E12" w:rsidRPr="00852BF1">
        <w:t xml:space="preserve"> dazu</w:t>
      </w:r>
      <w:r w:rsidR="00410981" w:rsidRPr="00852BF1">
        <w:t>:</w:t>
      </w:r>
    </w:p>
    <w:p w:rsidR="00514BCC" w:rsidRPr="00852BF1" w:rsidRDefault="00514BCC" w:rsidP="007B3F3F">
      <w:pPr>
        <w:spacing w:after="0"/>
        <w:ind w:left="1134"/>
        <w:jc w:val="both"/>
      </w:pPr>
      <w:r w:rsidRPr="00852BF1">
        <w:t>„Es gab unter den deutschen Exilanten zahlreiche, die um ihrer politischen Gesi</w:t>
      </w:r>
      <w:r w:rsidRPr="00852BF1">
        <w:t>n</w:t>
      </w:r>
      <w:r w:rsidRPr="00852BF1">
        <w:t xml:space="preserve">nung willen hatten fliehen müssen, </w:t>
      </w:r>
      <w:r w:rsidRPr="00852BF1">
        <w:rPr>
          <w:i/>
        </w:rPr>
        <w:t>und es gab die große Masse derjenigen, die, nur weil sie selber oder ihre Eltern in den standesamtlichen Registern als Juden geführt wurden, sich zur Auswanderung gezwungen gesehen hatten</w:t>
      </w:r>
      <w:r w:rsidRPr="00852BF1">
        <w:t>.“</w:t>
      </w:r>
      <w:r w:rsidRPr="00852BF1">
        <w:rPr>
          <w:rStyle w:val="Funotenzeichen"/>
        </w:rPr>
        <w:footnoteReference w:id="39"/>
      </w:r>
    </w:p>
    <w:p w:rsidR="000D1815" w:rsidRPr="00852BF1" w:rsidRDefault="00424E12" w:rsidP="007B3F3F">
      <w:pPr>
        <w:spacing w:after="0"/>
        <w:jc w:val="both"/>
      </w:pPr>
      <w:r w:rsidRPr="00852BF1">
        <w:t>Die Aussage wird im Nachsatz noch einmal wiederholt</w:t>
      </w:r>
      <w:r w:rsidR="00C40869" w:rsidRPr="00852BF1">
        <w:t>:</w:t>
      </w:r>
    </w:p>
    <w:p w:rsidR="00424E12" w:rsidRPr="00852BF1" w:rsidRDefault="00514BCC" w:rsidP="007B3F3F">
      <w:pPr>
        <w:spacing w:after="0"/>
        <w:ind w:left="1134"/>
        <w:jc w:val="both"/>
      </w:pPr>
      <w:r w:rsidRPr="00852BF1">
        <w:t>„Es gab viele, Juden und Nichtjuden, die freiwillig gegangen waren, weil sie die Luft des Dritten Reichs einfach nicht mehr hatten atmen können</w:t>
      </w:r>
      <w:r w:rsidR="00C40869" w:rsidRPr="00852BF1">
        <w:t xml:space="preserve">, </w:t>
      </w:r>
      <w:r w:rsidRPr="00852BF1">
        <w:rPr>
          <w:i/>
        </w:rPr>
        <w:t>und andere, die für ihr Leben gern in Deutschland geblieben wären, hätte man sie dort nur auf i</w:t>
      </w:r>
      <w:r w:rsidRPr="00852BF1">
        <w:rPr>
          <w:i/>
        </w:rPr>
        <w:t>r</w:t>
      </w:r>
      <w:r w:rsidRPr="00852BF1">
        <w:rPr>
          <w:i/>
        </w:rPr>
        <w:t>gendeine Art ihren Lebensunterhalt verdienen lassen.</w:t>
      </w:r>
      <w:r w:rsidR="00424E12" w:rsidRPr="00852BF1">
        <w:t>“</w:t>
      </w:r>
      <w:r w:rsidRPr="00852BF1">
        <w:t xml:space="preserve"> </w:t>
      </w:r>
    </w:p>
    <w:p w:rsidR="00424E12" w:rsidRPr="00852BF1" w:rsidRDefault="00CD451D" w:rsidP="007B3F3F">
      <w:pPr>
        <w:spacing w:after="0"/>
        <w:jc w:val="both"/>
      </w:pPr>
      <w:r w:rsidRPr="00852BF1">
        <w:t>Auch hier steht die Zweiteilung im Zentrum</w:t>
      </w:r>
      <w:r w:rsidR="00FA7F25" w:rsidRPr="00852BF1">
        <w:t xml:space="preserve">. </w:t>
      </w:r>
      <w:r w:rsidR="00424E12" w:rsidRPr="00852BF1">
        <w:t>Im</w:t>
      </w:r>
      <w:r w:rsidR="009B04E8">
        <w:t>merhin weist Feuchtwanger im</w:t>
      </w:r>
      <w:r w:rsidR="00424E12" w:rsidRPr="00852BF1">
        <w:t xml:space="preserve"> Nachsatz </w:t>
      </w:r>
      <w:r w:rsidR="009B04E8">
        <w:t>d</w:t>
      </w:r>
      <w:r w:rsidR="009B04E8">
        <w:t>a</w:t>
      </w:r>
      <w:r w:rsidR="009B04E8">
        <w:t>rauf</w:t>
      </w:r>
      <w:r w:rsidR="00731469" w:rsidRPr="00852BF1">
        <w:t xml:space="preserve"> hin</w:t>
      </w:r>
      <w:r w:rsidR="009B04E8">
        <w:t>,</w:t>
      </w:r>
      <w:r w:rsidR="00731469" w:rsidRPr="00852BF1">
        <w:t xml:space="preserve"> </w:t>
      </w:r>
      <w:r w:rsidR="009B04E8">
        <w:t>dass mit</w:t>
      </w:r>
      <w:r w:rsidR="005A7907" w:rsidRPr="00852BF1">
        <w:t xml:space="preserve"> der Vertreibung der jüdischen Bevölkerungsgruppe ein zentraler Punkt des nationalsozialistischen Parteiprogramms umgesetzt</w:t>
      </w:r>
      <w:r w:rsidR="009B04E8">
        <w:t xml:space="preserve"> wurde. Die Konfrontation der beiden Formen von „Exil“ wird damit abgeschwächt</w:t>
      </w:r>
      <w:r w:rsidR="005A7907" w:rsidRPr="00852BF1">
        <w:t>:</w:t>
      </w:r>
    </w:p>
    <w:p w:rsidR="00514BCC" w:rsidRPr="00852BF1" w:rsidRDefault="00424E12" w:rsidP="007B3F3F">
      <w:pPr>
        <w:spacing w:after="0"/>
        <w:ind w:left="1134"/>
        <w:jc w:val="both"/>
      </w:pPr>
      <w:r w:rsidRPr="00852BF1">
        <w:t>„</w:t>
      </w:r>
      <w:r w:rsidR="00514BCC" w:rsidRPr="00852BF1">
        <w:t xml:space="preserve">Aber eben das war einer der wesentlichen Punkte des nationalsozialistischen Programms und eigentlich der einzige, der sich verwirklichen ließ: den politischen </w:t>
      </w:r>
      <w:r w:rsidR="00514BCC" w:rsidRPr="00852BF1">
        <w:lastRenderedPageBreak/>
        <w:t>Gegnern, den persönlichen Feinden oder Konkurrenten der neuen Herren und den als Juden Eingetragenen die Lebensmöglichkeiten zu nehmen, auf daß sie krepie</w:t>
      </w:r>
      <w:r w:rsidR="00514BCC" w:rsidRPr="00852BF1">
        <w:t>r</w:t>
      </w:r>
      <w:r w:rsidR="00514BCC" w:rsidRPr="00852BF1">
        <w:t>ten wie die Fische eines austrocknenden Gewässers.“</w:t>
      </w:r>
      <w:r w:rsidR="00C40869" w:rsidRPr="00852BF1">
        <w:rPr>
          <w:rStyle w:val="Funotenzeichen"/>
        </w:rPr>
        <w:t xml:space="preserve"> </w:t>
      </w:r>
      <w:r w:rsidR="00C40869" w:rsidRPr="00852BF1">
        <w:rPr>
          <w:rStyle w:val="Funotenzeichen"/>
        </w:rPr>
        <w:footnoteReference w:id="40"/>
      </w:r>
    </w:p>
    <w:p w:rsidR="00514BCC" w:rsidRPr="00852BF1" w:rsidRDefault="00C40869" w:rsidP="007B3F3F">
      <w:pPr>
        <w:spacing w:after="0"/>
        <w:jc w:val="both"/>
      </w:pPr>
      <w:r w:rsidRPr="00852BF1">
        <w:t xml:space="preserve">Die Trennlinie </w:t>
      </w:r>
      <w:r w:rsidR="003E3547" w:rsidRPr="00852BF1">
        <w:t>wird durch</w:t>
      </w:r>
      <w:r w:rsidR="00FA7F25" w:rsidRPr="00852BF1">
        <w:t xml:space="preserve"> den Nachsatz</w:t>
      </w:r>
      <w:r w:rsidR="003E3547" w:rsidRPr="00852BF1">
        <w:t xml:space="preserve"> jedoch nicht </w:t>
      </w:r>
      <w:r w:rsidR="009B04E8">
        <w:t xml:space="preserve">völlig </w:t>
      </w:r>
      <w:r w:rsidR="003E3547" w:rsidRPr="00852BF1">
        <w:t>aufgehoben.</w:t>
      </w:r>
    </w:p>
    <w:p w:rsidR="005F092C" w:rsidRPr="00852BF1" w:rsidRDefault="00424E12" w:rsidP="007B3F3F">
      <w:pPr>
        <w:spacing w:after="0"/>
        <w:ind w:firstLine="708"/>
        <w:jc w:val="both"/>
      </w:pPr>
      <w:r w:rsidRPr="00852BF1">
        <w:t>Bereits in der Weimarer Republik war</w:t>
      </w:r>
      <w:r w:rsidR="00FA7F25" w:rsidRPr="00852BF1">
        <w:t xml:space="preserve"> das traditionelle, orthodoxe, </w:t>
      </w:r>
      <w:r w:rsidR="00FA7F25" w:rsidRPr="00852BF1">
        <w:rPr>
          <w:i/>
        </w:rPr>
        <w:t>osteuropäische</w:t>
      </w:r>
      <w:r w:rsidR="00FA7F25" w:rsidRPr="00852BF1">
        <w:t xml:space="preserve"> J</w:t>
      </w:r>
      <w:r w:rsidR="00FA7F25" w:rsidRPr="00852BF1">
        <w:t>u</w:t>
      </w:r>
      <w:r w:rsidR="00FA7F25" w:rsidRPr="00852BF1">
        <w:t>dentum</w:t>
      </w:r>
      <w:r w:rsidRPr="00852BF1">
        <w:t xml:space="preserve"> als Fremdkörper innerhalb der deutsch</w:t>
      </w:r>
      <w:r w:rsidR="00297439" w:rsidRPr="00852BF1">
        <w:t>-jüdisch</w:t>
      </w:r>
      <w:r w:rsidRPr="00852BF1">
        <w:t>en Gesellschaft stigmatisiert und di</w:t>
      </w:r>
      <w:r w:rsidRPr="00852BF1">
        <w:t>f</w:t>
      </w:r>
      <w:r w:rsidRPr="00852BF1">
        <w:t xml:space="preserve">famiert worden. In </w:t>
      </w:r>
      <w:r w:rsidR="009B04E8">
        <w:t>Feuchtwangers Roman</w:t>
      </w:r>
      <w:r w:rsidRPr="00852BF1">
        <w:t xml:space="preserve"> </w:t>
      </w:r>
      <w:r w:rsidR="009B04E8">
        <w:t>wiederholt sich der Vorgang</w:t>
      </w:r>
      <w:r w:rsidR="00FA7F25" w:rsidRPr="00852BF1">
        <w:t xml:space="preserve">. </w:t>
      </w:r>
      <w:r w:rsidR="009B04E8">
        <w:t>Ausgangspunkt i</w:t>
      </w:r>
      <w:r w:rsidR="00297439" w:rsidRPr="00852BF1">
        <w:t xml:space="preserve">st die </w:t>
      </w:r>
      <w:r w:rsidR="00593AD6">
        <w:t>Roman-</w:t>
      </w:r>
      <w:r w:rsidR="009B04E8">
        <w:t>Figur</w:t>
      </w:r>
      <w:r w:rsidR="008F2884" w:rsidRPr="00852BF1">
        <w:t xml:space="preserve"> des Geschäftsmannes und Emigranten Louis Gingold</w:t>
      </w:r>
      <w:r w:rsidR="00297439" w:rsidRPr="00852BF1">
        <w:t xml:space="preserve">. </w:t>
      </w:r>
      <w:r w:rsidR="005F092C" w:rsidRPr="00852BF1">
        <w:t>Feuchtwanger b</w:t>
      </w:r>
      <w:r w:rsidR="005F092C" w:rsidRPr="00852BF1">
        <w:t>e</w:t>
      </w:r>
      <w:r w:rsidR="005F092C" w:rsidRPr="00852BF1">
        <w:t>schreibt Gingold als orthodoxen, gläubigen Juden, einen Anhänger kabbalistischer Zahle</w:t>
      </w:r>
      <w:r w:rsidR="005F092C" w:rsidRPr="00852BF1">
        <w:t>n</w:t>
      </w:r>
      <w:r w:rsidR="005F092C" w:rsidRPr="00852BF1">
        <w:t xml:space="preserve">mystik und ehemaligen Talmudschüler. </w:t>
      </w:r>
      <w:r w:rsidR="005F092C">
        <w:t xml:space="preserve">Er wird von Feuchtwanger durch die Art und Weise charakterisiert, </w:t>
      </w:r>
      <w:r w:rsidR="005F092C" w:rsidRPr="00852BF1">
        <w:t xml:space="preserve">wie </w:t>
      </w:r>
      <w:r w:rsidR="005F092C">
        <w:t>er</w:t>
      </w:r>
      <w:r w:rsidR="005F092C" w:rsidRPr="00852BF1">
        <w:t xml:space="preserve"> sein Frühstück einnimmt: </w:t>
      </w:r>
    </w:p>
    <w:p w:rsidR="005F092C" w:rsidRPr="00852BF1" w:rsidRDefault="005F092C" w:rsidP="007B3F3F">
      <w:pPr>
        <w:spacing w:after="0"/>
        <w:ind w:left="1134"/>
        <w:jc w:val="both"/>
      </w:pPr>
      <w:r w:rsidRPr="00852BF1">
        <w:t>„Da sitzt also Herr Gingold, er tunkt sehr süßen Kuchen, der mit einem Gemisch aus Butter, Honig und gebrannten Mandeln beschmiert ist, in seinen Kaffee, ein bißchen Eigelb ist in seinem viereckigen, grauschwarzen Bart hängengeblieben, er ißt hastig, mit vielen Geräuschen, er schüttet dazwischen einen Schluck aus seiner Tasse hinunter, und er wischt sich immerzu die Hände an der Serviette ab, um die Briefe nicht zu beschmutzen, die seine späherischen bebrillten Augen rasch übe</w:t>
      </w:r>
      <w:r w:rsidRPr="00852BF1">
        <w:t>r</w:t>
      </w:r>
      <w:r w:rsidRPr="00852BF1">
        <w:t>fliegen.“</w:t>
      </w:r>
      <w:r w:rsidRPr="00852BF1">
        <w:rPr>
          <w:rStyle w:val="Funotenzeichen"/>
        </w:rPr>
        <w:footnoteReference w:id="41"/>
      </w:r>
    </w:p>
    <w:p w:rsidR="005F092C" w:rsidRPr="00852BF1" w:rsidRDefault="005F092C" w:rsidP="007B3F3F">
      <w:pPr>
        <w:spacing w:after="0"/>
        <w:jc w:val="both"/>
      </w:pPr>
      <w:r w:rsidRPr="00852BF1">
        <w:t xml:space="preserve">Das sind </w:t>
      </w:r>
      <w:r>
        <w:t>– das Urteil bedarf keiner speziellen Formulierung – d</w:t>
      </w:r>
      <w:r w:rsidRPr="00852BF1">
        <w:t xml:space="preserve">ie Manieren eines „Ostjuden“. „Ostjüdisch“ ist auch die Form der Religiosität: </w:t>
      </w:r>
      <w:r>
        <w:t>W</w:t>
      </w:r>
      <w:r w:rsidRPr="00852BF1">
        <w:t>ährend des</w:t>
      </w:r>
      <w:r w:rsidRPr="00852BF1">
        <w:rPr>
          <w:i/>
        </w:rPr>
        <w:t xml:space="preserve"> </w:t>
      </w:r>
      <w:r w:rsidRPr="00852BF1">
        <w:t xml:space="preserve">Gebets denkt Gingold </w:t>
      </w:r>
      <w:r>
        <w:t xml:space="preserve">noch </w:t>
      </w:r>
      <w:r w:rsidRPr="00852BF1">
        <w:t>we</w:t>
      </w:r>
      <w:r w:rsidRPr="00852BF1">
        <w:t>i</w:t>
      </w:r>
      <w:r w:rsidRPr="00852BF1">
        <w:t>ter an seine Geschäfte.</w:t>
      </w:r>
      <w:r w:rsidRPr="00852BF1">
        <w:rPr>
          <w:rStyle w:val="Funotenzeichen"/>
        </w:rPr>
        <w:footnoteReference w:id="42"/>
      </w:r>
      <w:r w:rsidRPr="00852BF1">
        <w:t xml:space="preserve"> Er ist sich zwar bewusst, dass er damit gegen das </w:t>
      </w:r>
      <w:r>
        <w:t xml:space="preserve">religiöse </w:t>
      </w:r>
      <w:r w:rsidRPr="00852BF1">
        <w:t>Gebot verstößt,</w:t>
      </w:r>
      <w:r w:rsidRPr="00852BF1">
        <w:rPr>
          <w:rStyle w:val="Funotenzeichen"/>
        </w:rPr>
        <w:footnoteReference w:id="43"/>
      </w:r>
      <w:r w:rsidRPr="00852BF1">
        <w:t xml:space="preserve"> aber der Wunsch, zumindest einen Teil seiner Kapitalien zu retten, </w:t>
      </w:r>
      <w:r>
        <w:t>die er im M</w:t>
      </w:r>
      <w:r>
        <w:t>o</w:t>
      </w:r>
      <w:r>
        <w:t xml:space="preserve">ment bedroht sieht, </w:t>
      </w:r>
      <w:r w:rsidRPr="00852BF1">
        <w:t xml:space="preserve">ist stärker als das Gebot. Gingold nimmt sich jedoch vor, den Verstoß durch „gute Werke“, wohltätige Spenden, zu kompensieren. </w:t>
      </w:r>
    </w:p>
    <w:p w:rsidR="00CE7633" w:rsidRPr="00852BF1" w:rsidRDefault="0030305B" w:rsidP="007B3F3F">
      <w:pPr>
        <w:spacing w:after="0"/>
        <w:ind w:firstLine="708"/>
        <w:jc w:val="both"/>
      </w:pPr>
      <w:r w:rsidRPr="00852BF1">
        <w:t>G</w:t>
      </w:r>
      <w:r w:rsidR="00A01B11" w:rsidRPr="00852BF1">
        <w:t xml:space="preserve">ingold, </w:t>
      </w:r>
      <w:r w:rsidR="00593AD6" w:rsidRPr="00852BF1">
        <w:t xml:space="preserve">Besitzer </w:t>
      </w:r>
      <w:r w:rsidR="00A01B11" w:rsidRPr="00852BF1">
        <w:t xml:space="preserve">und </w:t>
      </w:r>
      <w:r w:rsidR="00593AD6" w:rsidRPr="00852BF1">
        <w:t xml:space="preserve">Verleger </w:t>
      </w:r>
      <w:r w:rsidR="00A01B11" w:rsidRPr="00852BF1">
        <w:t xml:space="preserve">der </w:t>
      </w:r>
      <w:r w:rsidR="00A01B11" w:rsidRPr="00852BF1">
        <w:rPr>
          <w:i/>
        </w:rPr>
        <w:t>Pariser Nachrichten</w:t>
      </w:r>
      <w:r w:rsidR="00A01B11" w:rsidRPr="00852BF1">
        <w:t xml:space="preserve">, einer </w:t>
      </w:r>
      <w:r w:rsidR="00593AD6">
        <w:t>Emigrante</w:t>
      </w:r>
      <w:r w:rsidR="005C316B">
        <w:t>n</w:t>
      </w:r>
      <w:r w:rsidR="00593AD6">
        <w:t>-</w:t>
      </w:r>
      <w:r w:rsidR="00A01B11" w:rsidRPr="00852BF1">
        <w:t xml:space="preserve">Zeitung, die sich den Kampf gegen den Nationalsozialismus zur Aufgabe gemacht hat, </w:t>
      </w:r>
      <w:r w:rsidR="00297439" w:rsidRPr="00852BF1">
        <w:t xml:space="preserve">ist bereit, </w:t>
      </w:r>
      <w:r w:rsidR="00A01B11" w:rsidRPr="00852BF1">
        <w:t xml:space="preserve">diese Zeitung an einen Mittelsmann des NS-Regimes </w:t>
      </w:r>
      <w:r w:rsidR="00297439" w:rsidRPr="00852BF1">
        <w:t>zu verkaufen. Er</w:t>
      </w:r>
      <w:r w:rsidR="00A01B11" w:rsidRPr="00852BF1">
        <w:t xml:space="preserve"> verrät </w:t>
      </w:r>
      <w:r w:rsidR="00731469" w:rsidRPr="00852BF1">
        <w:t>damit</w:t>
      </w:r>
      <w:r w:rsidR="00A01B11" w:rsidRPr="00852BF1">
        <w:t xml:space="preserve"> die Sache des Exils. </w:t>
      </w:r>
      <w:r w:rsidR="00731469" w:rsidRPr="00852BF1">
        <w:t xml:space="preserve">Er ist Intrigant und zugleich selber Opfer einer Intrige, weil </w:t>
      </w:r>
      <w:r w:rsidR="009B04E8" w:rsidRPr="00852BF1">
        <w:t xml:space="preserve">sich </w:t>
      </w:r>
      <w:r w:rsidR="00731469" w:rsidRPr="00852BF1">
        <w:t>zu dem Zeitpunkt, als er den Verkauf ins Auge fasst, seine Tochter noch in Deutschland aufhält und sich den Nati</w:t>
      </w:r>
      <w:r w:rsidR="00731469" w:rsidRPr="00852BF1">
        <w:t>o</w:t>
      </w:r>
      <w:r w:rsidR="00731469" w:rsidRPr="00852BF1">
        <w:t>nalsozialisten so</w:t>
      </w:r>
      <w:r w:rsidR="009B04E8">
        <w:t>mit</w:t>
      </w:r>
      <w:r w:rsidR="00731469" w:rsidRPr="00852BF1">
        <w:t xml:space="preserve"> die Möglichkeit einer Erpressung bietet.</w:t>
      </w:r>
      <w:r w:rsidR="005F092C">
        <w:t xml:space="preserve"> </w:t>
      </w:r>
      <w:r w:rsidR="00593AD6">
        <w:t>– F</w:t>
      </w:r>
      <w:r w:rsidR="00297439" w:rsidRPr="00852BF1">
        <w:t xml:space="preserve">euchtwanger bedient sich </w:t>
      </w:r>
      <w:r w:rsidR="00593AD6">
        <w:t>in Bezug auf die Figur des Louis Gingold</w:t>
      </w:r>
      <w:r w:rsidR="005F092C">
        <w:t xml:space="preserve"> </w:t>
      </w:r>
      <w:r w:rsidR="00297439" w:rsidRPr="00852BF1">
        <w:t xml:space="preserve">einer Ansammlung </w:t>
      </w:r>
      <w:r w:rsidR="00F91EC5" w:rsidRPr="00852BF1">
        <w:t xml:space="preserve">von </w:t>
      </w:r>
      <w:r w:rsidR="007D7EAE" w:rsidRPr="00852BF1">
        <w:t>Stereotype</w:t>
      </w:r>
      <w:r w:rsidR="00F91EC5" w:rsidRPr="00852BF1">
        <w:t>n, die i</w:t>
      </w:r>
      <w:r w:rsidR="00593AD6">
        <w:t xml:space="preserve">n Anbetracht </w:t>
      </w:r>
      <w:r w:rsidR="00F91EC5" w:rsidRPr="00852BF1">
        <w:t xml:space="preserve">der </w:t>
      </w:r>
      <w:r w:rsidR="00593AD6" w:rsidRPr="00852BF1">
        <w:t>Episode</w:t>
      </w:r>
      <w:r w:rsidR="00593AD6">
        <w:t>, die die Romanhandlung – verfälschend – aufgreift:</w:t>
      </w:r>
      <w:r w:rsidR="00F91EC5" w:rsidRPr="00852BF1">
        <w:t xml:space="preserve"> de</w:t>
      </w:r>
      <w:r w:rsidR="00593AD6">
        <w:t>r</w:t>
      </w:r>
      <w:r w:rsidR="00F91EC5" w:rsidRPr="00852BF1">
        <w:t xml:space="preserve"> </w:t>
      </w:r>
      <w:r w:rsidR="00F91EC5" w:rsidRPr="00852BF1">
        <w:rPr>
          <w:i/>
        </w:rPr>
        <w:t>Pariser Tageblatt-</w:t>
      </w:r>
      <w:r w:rsidR="00593AD6">
        <w:t>Affäre</w:t>
      </w:r>
      <w:r w:rsidR="00F91EC5" w:rsidRPr="00852BF1">
        <w:t>, nichts anderes als Diffamierungen sind</w:t>
      </w:r>
      <w:r w:rsidR="003E3547" w:rsidRPr="00852BF1">
        <w:t>.</w:t>
      </w:r>
      <w:r w:rsidR="00F91EC5" w:rsidRPr="00852BF1">
        <w:rPr>
          <w:rStyle w:val="Funotenzeichen"/>
        </w:rPr>
        <w:t xml:space="preserve"> </w:t>
      </w:r>
      <w:r w:rsidR="00F91EC5" w:rsidRPr="00852BF1">
        <w:rPr>
          <w:rStyle w:val="Funotenzeichen"/>
        </w:rPr>
        <w:footnoteReference w:id="44"/>
      </w:r>
      <w:r w:rsidR="003E3547" w:rsidRPr="00852BF1">
        <w:t xml:space="preserve"> </w:t>
      </w:r>
      <w:r w:rsidR="00ED1772" w:rsidRPr="00852BF1">
        <w:t xml:space="preserve">Vorbild </w:t>
      </w:r>
      <w:r w:rsidR="005F092C">
        <w:t>von Feuchtwangers</w:t>
      </w:r>
      <w:r w:rsidR="00ED1772" w:rsidRPr="00852BF1">
        <w:t xml:space="preserve"> </w:t>
      </w:r>
      <w:r w:rsidR="005F092C">
        <w:t xml:space="preserve">Roman-Figur </w:t>
      </w:r>
      <w:r w:rsidR="00F91EC5" w:rsidRPr="00852BF1">
        <w:t>ist</w:t>
      </w:r>
      <w:r w:rsidR="004802C6" w:rsidRPr="00852BF1">
        <w:t xml:space="preserve"> </w:t>
      </w:r>
      <w:r w:rsidR="00ED1772" w:rsidRPr="00852BF1">
        <w:t>der weißrussische Emigrant Wladimir Poljakow</w:t>
      </w:r>
      <w:r w:rsidR="00593AD6">
        <w:t xml:space="preserve"> </w:t>
      </w:r>
      <w:r w:rsidR="00593AD6" w:rsidRPr="00852BF1">
        <w:t>(1864 – 1939)</w:t>
      </w:r>
      <w:r w:rsidR="00593AD6">
        <w:t xml:space="preserve">, Besitzer und Verleger des Pariser </w:t>
      </w:r>
      <w:r w:rsidR="00593AD6">
        <w:rPr>
          <w:i/>
        </w:rPr>
        <w:t>Tageblatts</w:t>
      </w:r>
      <w:r w:rsidR="00CE7633" w:rsidRPr="00852BF1">
        <w:t xml:space="preserve">. Poliakow war </w:t>
      </w:r>
      <w:r w:rsidR="00F91EC5" w:rsidRPr="00852BF1">
        <w:t xml:space="preserve">als Unternehmer eine umstrittene Persönlichkeit. Ein Verräter am Exil war er </w:t>
      </w:r>
      <w:r w:rsidR="005F092C">
        <w:t>nicht</w:t>
      </w:r>
      <w:r w:rsidR="00593AD6">
        <w:t xml:space="preserve">; der ihm unterstellte „Verrat“ beruhte vielmehr auf einer Intrige </w:t>
      </w:r>
      <w:r w:rsidR="00593AD6" w:rsidRPr="005C316B">
        <w:rPr>
          <w:i/>
        </w:rPr>
        <w:t>Georg Bernhards, des Chefred</w:t>
      </w:r>
      <w:r w:rsidR="00A3444F" w:rsidRPr="005C316B">
        <w:rPr>
          <w:i/>
        </w:rPr>
        <w:t>akteurs</w:t>
      </w:r>
      <w:r w:rsidR="00F91EC5" w:rsidRPr="00A3444F">
        <w:rPr>
          <w:i/>
        </w:rPr>
        <w:t xml:space="preserve">. </w:t>
      </w:r>
      <w:r w:rsidR="005C316B" w:rsidRPr="00852BF1">
        <w:t>Die Behauptung, dass er die Zeitschrift den Nationalsoziali</w:t>
      </w:r>
      <w:r w:rsidR="005C316B" w:rsidRPr="00852BF1">
        <w:t>s</w:t>
      </w:r>
      <w:r w:rsidR="005C316B" w:rsidRPr="00852BF1">
        <w:t xml:space="preserve">ten in die Hände spielen wollte, </w:t>
      </w:r>
      <w:r w:rsidR="005C316B">
        <w:t>war</w:t>
      </w:r>
      <w:r w:rsidR="005C316B" w:rsidRPr="00852BF1">
        <w:t xml:space="preserve"> eine infame Unterstellung, die in </w:t>
      </w:r>
      <w:r w:rsidR="005C316B">
        <w:t>mehrere</w:t>
      </w:r>
      <w:r w:rsidR="005C316B" w:rsidRPr="00852BF1">
        <w:t>n Unters</w:t>
      </w:r>
      <w:r w:rsidR="005C316B" w:rsidRPr="00852BF1">
        <w:t>u</w:t>
      </w:r>
      <w:r w:rsidR="005C316B" w:rsidRPr="00852BF1">
        <w:t>chungsverfahren und Prozessen</w:t>
      </w:r>
      <w:r w:rsidR="005C316B">
        <w:t xml:space="preserve"> </w:t>
      </w:r>
      <w:r w:rsidR="005C316B" w:rsidRPr="00852BF1">
        <w:t xml:space="preserve">eindeutig </w:t>
      </w:r>
      <w:r w:rsidR="005C316B">
        <w:t>widerlegt worden ist</w:t>
      </w:r>
      <w:r w:rsidR="005C316B" w:rsidRPr="00852BF1">
        <w:t xml:space="preserve">. </w:t>
      </w:r>
      <w:r w:rsidR="005F092C" w:rsidRPr="00453AE7">
        <w:t>Die</w:t>
      </w:r>
      <w:r w:rsidR="005F092C" w:rsidRPr="00A3444F">
        <w:rPr>
          <w:i/>
        </w:rPr>
        <w:t xml:space="preserve"> Pariser Tageszeitung, </w:t>
      </w:r>
      <w:r w:rsidR="005F092C" w:rsidRPr="005C316B">
        <w:t xml:space="preserve">das </w:t>
      </w:r>
      <w:r w:rsidR="005F092C" w:rsidRPr="005C316B">
        <w:lastRenderedPageBreak/>
        <w:t>Nachfolgeorgan des</w:t>
      </w:r>
      <w:r w:rsidR="005F092C" w:rsidRPr="00A3444F">
        <w:rPr>
          <w:i/>
        </w:rPr>
        <w:t xml:space="preserve"> Pariser</w:t>
      </w:r>
      <w:r w:rsidR="005F092C">
        <w:t xml:space="preserve"> </w:t>
      </w:r>
      <w:r w:rsidR="005F092C" w:rsidRPr="005C316B">
        <w:rPr>
          <w:i/>
        </w:rPr>
        <w:t>Tageblatts</w:t>
      </w:r>
      <w:r w:rsidR="005F092C">
        <w:t>, formuliert</w:t>
      </w:r>
      <w:r w:rsidR="005C316B">
        <w:t>e</w:t>
      </w:r>
      <w:r w:rsidR="005F092C">
        <w:t xml:space="preserve"> in </w:t>
      </w:r>
      <w:r w:rsidR="005C316B">
        <w:t>ein</w:t>
      </w:r>
      <w:r w:rsidR="005F092C">
        <w:t xml:space="preserve">em Nachruf, Poliakow </w:t>
      </w:r>
      <w:r w:rsidR="005C316B">
        <w:t xml:space="preserve">sei </w:t>
      </w:r>
      <w:r w:rsidR="005F092C">
        <w:t>z</w:t>
      </w:r>
      <w:r w:rsidR="00F91EC5" w:rsidRPr="00852BF1">
        <w:t xml:space="preserve">u einer Zeit, „da kein deutscher Verleger oder Geldgeber von einem derartigen Zeitungsprojekt etwas wissen wollte“, bereit gewesen, </w:t>
      </w:r>
      <w:r w:rsidR="005C316B" w:rsidRPr="00852BF1">
        <w:t xml:space="preserve">Finanzmittel </w:t>
      </w:r>
      <w:r w:rsidR="00ED1772" w:rsidRPr="00852BF1">
        <w:t>zur Gründung einer Tageszeitung für die deu</w:t>
      </w:r>
      <w:r w:rsidR="00ED1772" w:rsidRPr="00852BF1">
        <w:t>t</w:t>
      </w:r>
      <w:r w:rsidR="00ED1772" w:rsidRPr="00852BF1">
        <w:t xml:space="preserve">schen Exilierten in Frankreich </w:t>
      </w:r>
      <w:r w:rsidR="00F91EC5" w:rsidRPr="00852BF1">
        <w:t>zur Verfügung zu stellen.</w:t>
      </w:r>
      <w:r w:rsidR="00A3444F" w:rsidRPr="00A3444F">
        <w:rPr>
          <w:rStyle w:val="Funotenzeichen"/>
        </w:rPr>
        <w:t xml:space="preserve"> </w:t>
      </w:r>
      <w:r w:rsidR="00A3444F" w:rsidRPr="00852BF1">
        <w:rPr>
          <w:rStyle w:val="Funotenzeichen"/>
        </w:rPr>
        <w:footnoteReference w:id="45"/>
      </w:r>
      <w:r w:rsidR="00F91EC5" w:rsidRPr="00852BF1">
        <w:t xml:space="preserve"> </w:t>
      </w:r>
      <w:r w:rsidR="005C316B">
        <w:t xml:space="preserve">– </w:t>
      </w:r>
      <w:r w:rsidR="00CE7633" w:rsidRPr="00593AD6">
        <w:rPr>
          <w:i/>
        </w:rPr>
        <w:t>Über diese Sachlage war Feuchtwanger informiert</w:t>
      </w:r>
      <w:r w:rsidR="00CE7633" w:rsidRPr="00852BF1">
        <w:t>.</w:t>
      </w:r>
    </w:p>
    <w:sectPr w:rsidR="00CE7633" w:rsidRPr="00852BF1" w:rsidSect="00CC477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84" w:rsidRDefault="006F7B84" w:rsidP="007C5897">
      <w:pPr>
        <w:spacing w:after="0" w:line="240" w:lineRule="auto"/>
      </w:pPr>
      <w:r>
        <w:separator/>
      </w:r>
    </w:p>
  </w:endnote>
  <w:endnote w:type="continuationSeparator" w:id="0">
    <w:p w:rsidR="006F7B84" w:rsidRDefault="006F7B84" w:rsidP="007C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84" w:rsidRDefault="006F7B84" w:rsidP="007C5897">
      <w:pPr>
        <w:spacing w:after="0" w:line="240" w:lineRule="auto"/>
      </w:pPr>
      <w:r>
        <w:separator/>
      </w:r>
    </w:p>
  </w:footnote>
  <w:footnote w:type="continuationSeparator" w:id="0">
    <w:p w:rsidR="006F7B84" w:rsidRDefault="006F7B84" w:rsidP="007C5897">
      <w:pPr>
        <w:spacing w:after="0" w:line="240" w:lineRule="auto"/>
      </w:pPr>
      <w:r>
        <w:continuationSeparator/>
      </w:r>
    </w:p>
  </w:footnote>
  <w:footnote w:id="1">
    <w:p w:rsidR="00BE1152" w:rsidRPr="00DF3B4E" w:rsidRDefault="00BE1152">
      <w:pPr>
        <w:pStyle w:val="Funotentext"/>
      </w:pPr>
      <w:r>
        <w:rPr>
          <w:rStyle w:val="Funotenzeichen"/>
        </w:rPr>
        <w:footnoteRef/>
      </w:r>
      <w:r>
        <w:t xml:space="preserve"> Vgl. die „Einleitung“ des </w:t>
      </w:r>
      <w:r>
        <w:rPr>
          <w:i/>
        </w:rPr>
        <w:t>Handbuchs der deutschsprachigen Emigration 1933 – 1945.</w:t>
      </w:r>
      <w:r>
        <w:t xml:space="preserve"> Hrsg. von Claus-Dieter Krohn, Patrik von zur Mühlen, Gerhard Paul und Lutz Winckler. Darmstadt 1998, Sp. 1 – 4.</w:t>
      </w:r>
    </w:p>
  </w:footnote>
  <w:footnote w:id="2">
    <w:p w:rsidR="00BE1152" w:rsidRDefault="00BE1152">
      <w:pPr>
        <w:pStyle w:val="Funotentext"/>
      </w:pPr>
      <w:r>
        <w:rPr>
          <w:rStyle w:val="Funotenzeichen"/>
        </w:rPr>
        <w:footnoteRef/>
      </w:r>
      <w:r>
        <w:t xml:space="preserve"> A.a.O., Sp. 1 f.</w:t>
      </w:r>
    </w:p>
  </w:footnote>
  <w:footnote w:id="3">
    <w:p w:rsidR="00BE1152" w:rsidRPr="00254BF8" w:rsidRDefault="00BE1152" w:rsidP="0094486C">
      <w:pPr>
        <w:pStyle w:val="Funotentext"/>
      </w:pPr>
      <w:r>
        <w:rPr>
          <w:rStyle w:val="Funotenzeichen"/>
        </w:rPr>
        <w:footnoteRef/>
      </w:r>
      <w:r>
        <w:t xml:space="preserve"> Étienne François: Geleitwort. In: Julia Franke: </w:t>
      </w:r>
      <w:r>
        <w:rPr>
          <w:i/>
        </w:rPr>
        <w:t>Paris – eine neue Heimat?</w:t>
      </w:r>
      <w:r>
        <w:t xml:space="preserve"> Jüdische Emigranten aus Deutsc</w:t>
      </w:r>
      <w:r>
        <w:t>h</w:t>
      </w:r>
      <w:r>
        <w:t>land 1933 – 1939. Berlin 2000, S. 5.</w:t>
      </w:r>
    </w:p>
  </w:footnote>
  <w:footnote w:id="4">
    <w:p w:rsidR="00BE1152" w:rsidRDefault="00BE1152" w:rsidP="00D85D4D">
      <w:pPr>
        <w:pStyle w:val="Funotentext"/>
      </w:pPr>
      <w:r>
        <w:rPr>
          <w:rStyle w:val="Funotenzeichen"/>
        </w:rPr>
        <w:footnoteRef/>
      </w:r>
      <w:r>
        <w:t xml:space="preserve"> Julia Franke weist darauf hin (S. 202, Anm. 167), dass 1933 fast ein Fünftel (etwa 100 000) der in Deutschland lebenden Juden Ausländer waren. Sie stammten zumeist aus osteuropäischen Ländern. Die Einbeziehung dieser Gruppe in den Gesamtbereich der deutschsprachigen Emigration nach 1933 ist aus meiner Sicht unerlässlich.</w:t>
      </w:r>
      <w:r w:rsidRPr="00B222EF">
        <w:t xml:space="preserve"> </w:t>
      </w:r>
      <w:r>
        <w:t xml:space="preserve">Zu den in Paris lebenden aus Deutschland geflüchteten „Ostjuden“ vgl. Julia Franke: </w:t>
      </w:r>
      <w:r>
        <w:rPr>
          <w:i/>
        </w:rPr>
        <w:t>Paris,</w:t>
      </w:r>
      <w:r>
        <w:t xml:space="preserve"> S. 200 – 212.</w:t>
      </w:r>
    </w:p>
  </w:footnote>
  <w:footnote w:id="5">
    <w:p w:rsidR="00BE1152" w:rsidRDefault="00BE1152" w:rsidP="00313583">
      <w:pPr>
        <w:pStyle w:val="Funotentext"/>
      </w:pPr>
      <w:r>
        <w:rPr>
          <w:rStyle w:val="Funotenzeichen"/>
        </w:rPr>
        <w:footnoteRef/>
      </w:r>
      <w:r>
        <w:t xml:space="preserve"> Rovan bediente sich dieses Namens zuerst als Schriftstellerpseudonym während der deutschen Besatzungszeit, dann als Familiennamen.</w:t>
      </w:r>
      <w:r w:rsidRPr="00D85D4D">
        <w:t xml:space="preserve"> </w:t>
      </w:r>
    </w:p>
  </w:footnote>
  <w:footnote w:id="6">
    <w:p w:rsidR="00BE1152" w:rsidRPr="000B5DB1" w:rsidRDefault="00BE1152">
      <w:pPr>
        <w:pStyle w:val="Funotentext"/>
      </w:pPr>
      <w:r>
        <w:rPr>
          <w:rStyle w:val="Funotenzeichen"/>
        </w:rPr>
        <w:footnoteRef/>
      </w:r>
      <w:r>
        <w:t xml:space="preserve"> Zur Biografie vgl. den Eintrag in Bd. 2 des </w:t>
      </w:r>
      <w:r>
        <w:rPr>
          <w:i/>
        </w:rPr>
        <w:t xml:space="preserve">Biographischen Handbuchs der deutschsprachigen Emigration nach 1933, </w:t>
      </w:r>
      <w:r>
        <w:t>S. 1000.</w:t>
      </w:r>
    </w:p>
  </w:footnote>
  <w:footnote w:id="7">
    <w:p w:rsidR="00BE1152" w:rsidRDefault="00BE1152" w:rsidP="00DB382E">
      <w:pPr>
        <w:spacing w:after="0" w:line="240" w:lineRule="auto"/>
      </w:pPr>
      <w:r>
        <w:rPr>
          <w:rStyle w:val="Funotenzeichen"/>
        </w:rPr>
        <w:footnoteRef/>
      </w:r>
      <w:r>
        <w:t xml:space="preserve"> </w:t>
      </w:r>
      <w:r w:rsidRPr="00DB382E">
        <w:rPr>
          <w:sz w:val="20"/>
          <w:szCs w:val="20"/>
        </w:rPr>
        <w:t xml:space="preserve">Auf Rovans Tätigkeit </w:t>
      </w:r>
      <w:r>
        <w:rPr>
          <w:sz w:val="20"/>
          <w:szCs w:val="20"/>
        </w:rPr>
        <w:t xml:space="preserve">nach der Befreiung aus dem Konzentrationslager, auf seine Arbeit </w:t>
      </w:r>
      <w:r w:rsidRPr="00DB382E">
        <w:rPr>
          <w:sz w:val="20"/>
          <w:szCs w:val="20"/>
        </w:rPr>
        <w:t>in verschiedenen französischen Regierungen, auf sein Engagement für die deutsch-französische Verständigung, seine publizist</w:t>
      </w:r>
      <w:r w:rsidRPr="00DB382E">
        <w:rPr>
          <w:sz w:val="20"/>
          <w:szCs w:val="20"/>
        </w:rPr>
        <w:t>i</w:t>
      </w:r>
      <w:r w:rsidRPr="00DB382E">
        <w:rPr>
          <w:sz w:val="20"/>
          <w:szCs w:val="20"/>
        </w:rPr>
        <w:t>sche und wissenschaftliche Arbeit soll an dieser Stelle nicht näher eingegangen werden.</w:t>
      </w:r>
    </w:p>
  </w:footnote>
  <w:footnote w:id="8">
    <w:p w:rsidR="00BE1152" w:rsidRPr="00373926" w:rsidRDefault="00BE1152">
      <w:pPr>
        <w:pStyle w:val="Funotentext"/>
      </w:pPr>
      <w:r>
        <w:rPr>
          <w:rStyle w:val="Funotenzeichen"/>
        </w:rPr>
        <w:footnoteRef/>
      </w:r>
      <w:r>
        <w:t xml:space="preserve"> Joseph Rovan: </w:t>
      </w:r>
      <w:r>
        <w:rPr>
          <w:i/>
        </w:rPr>
        <w:t>Erinnerungen eines Franzosen, der einmal Deutscher war.</w:t>
      </w:r>
      <w:r>
        <w:t xml:space="preserve"> München 2003, S. 58. Hervorhebung – F. T.</w:t>
      </w:r>
    </w:p>
  </w:footnote>
  <w:footnote w:id="9">
    <w:p w:rsidR="00BE1152" w:rsidRPr="00090527" w:rsidRDefault="00BE1152" w:rsidP="00DF6982">
      <w:pPr>
        <w:pStyle w:val="Funotentext"/>
      </w:pPr>
      <w:r>
        <w:rPr>
          <w:rStyle w:val="Funotenzeichen"/>
        </w:rPr>
        <w:footnoteRef/>
      </w:r>
      <w:r w:rsidRPr="00090527">
        <w:t xml:space="preserve"> S. 25.</w:t>
      </w:r>
    </w:p>
  </w:footnote>
  <w:footnote w:id="10">
    <w:p w:rsidR="00BE1152" w:rsidRDefault="00BE1152">
      <w:pPr>
        <w:pStyle w:val="Funotentext"/>
      </w:pPr>
      <w:r>
        <w:rPr>
          <w:rStyle w:val="Funotenzeichen"/>
        </w:rPr>
        <w:footnoteRef/>
      </w:r>
      <w:r>
        <w:t xml:space="preserve"> Ebd., S. 24 f.</w:t>
      </w:r>
    </w:p>
  </w:footnote>
  <w:footnote w:id="11">
    <w:p w:rsidR="00BE1152" w:rsidRPr="00982721" w:rsidRDefault="00BE1152">
      <w:pPr>
        <w:pStyle w:val="Funotentext"/>
      </w:pPr>
      <w:r>
        <w:rPr>
          <w:rStyle w:val="Funotenzeichen"/>
        </w:rPr>
        <w:footnoteRef/>
      </w:r>
      <w:r w:rsidRPr="00982721">
        <w:t xml:space="preserve"> S. 25 f.</w:t>
      </w:r>
    </w:p>
  </w:footnote>
  <w:footnote w:id="12">
    <w:p w:rsidR="00BE1152" w:rsidRPr="00982721" w:rsidRDefault="00BE1152" w:rsidP="00970D98">
      <w:pPr>
        <w:pStyle w:val="Funotentext"/>
      </w:pPr>
      <w:r>
        <w:rPr>
          <w:rStyle w:val="Funotenzeichen"/>
        </w:rPr>
        <w:footnoteRef/>
      </w:r>
      <w:r w:rsidRPr="00982721">
        <w:t xml:space="preserve"> S. 72.</w:t>
      </w:r>
    </w:p>
  </w:footnote>
  <w:footnote w:id="13">
    <w:p w:rsidR="00BE1152" w:rsidRPr="00090527" w:rsidRDefault="00BE1152">
      <w:pPr>
        <w:pStyle w:val="Funotentext"/>
      </w:pPr>
      <w:r>
        <w:rPr>
          <w:rStyle w:val="Funotenzeichen"/>
        </w:rPr>
        <w:footnoteRef/>
      </w:r>
      <w:r w:rsidRPr="00090527">
        <w:t xml:space="preserve"> S. 59.</w:t>
      </w:r>
    </w:p>
  </w:footnote>
  <w:footnote w:id="14">
    <w:p w:rsidR="00BE1152" w:rsidRPr="00090527" w:rsidRDefault="00BE1152">
      <w:pPr>
        <w:pStyle w:val="Funotentext"/>
      </w:pPr>
      <w:r>
        <w:rPr>
          <w:rStyle w:val="Funotenzeichen"/>
        </w:rPr>
        <w:footnoteRef/>
      </w:r>
      <w:r w:rsidRPr="00090527">
        <w:t xml:space="preserve"> S. 60.</w:t>
      </w:r>
    </w:p>
  </w:footnote>
  <w:footnote w:id="15">
    <w:p w:rsidR="00BE1152" w:rsidRPr="00090527" w:rsidRDefault="00BE1152">
      <w:pPr>
        <w:pStyle w:val="Funotentext"/>
      </w:pPr>
      <w:r>
        <w:rPr>
          <w:rStyle w:val="Funotenzeichen"/>
        </w:rPr>
        <w:footnoteRef/>
      </w:r>
      <w:r w:rsidRPr="00090527">
        <w:t xml:space="preserve"> Ebd.</w:t>
      </w:r>
    </w:p>
  </w:footnote>
  <w:footnote w:id="16">
    <w:p w:rsidR="00BE1152" w:rsidRPr="00090527" w:rsidRDefault="00BE1152">
      <w:pPr>
        <w:pStyle w:val="Funotentext"/>
      </w:pPr>
      <w:r>
        <w:rPr>
          <w:rStyle w:val="Funotenzeichen"/>
        </w:rPr>
        <w:footnoteRef/>
      </w:r>
      <w:r w:rsidRPr="00090527">
        <w:t xml:space="preserve"> S. 71.</w:t>
      </w:r>
    </w:p>
  </w:footnote>
  <w:footnote w:id="17">
    <w:p w:rsidR="00BE1152" w:rsidRDefault="00BE1152" w:rsidP="00570EA3">
      <w:pPr>
        <w:pStyle w:val="Funotentext"/>
      </w:pPr>
      <w:r>
        <w:rPr>
          <w:rStyle w:val="Funotenzeichen"/>
        </w:rPr>
        <w:footnoteRef/>
      </w:r>
      <w:r>
        <w:t xml:space="preserve"> S. 85.</w:t>
      </w:r>
    </w:p>
  </w:footnote>
  <w:footnote w:id="18">
    <w:p w:rsidR="00BE1152" w:rsidRPr="00090527" w:rsidRDefault="00BE1152">
      <w:pPr>
        <w:pStyle w:val="Funotentext"/>
      </w:pPr>
      <w:r>
        <w:rPr>
          <w:rStyle w:val="Funotenzeichen"/>
        </w:rPr>
        <w:footnoteRef/>
      </w:r>
      <w:r w:rsidRPr="00090527">
        <w:t xml:space="preserve"> S. 82.</w:t>
      </w:r>
    </w:p>
  </w:footnote>
  <w:footnote w:id="19">
    <w:p w:rsidR="00BE1152" w:rsidRDefault="00BE1152">
      <w:pPr>
        <w:pStyle w:val="Funotentext"/>
      </w:pPr>
      <w:r>
        <w:rPr>
          <w:rStyle w:val="Funotenzeichen"/>
        </w:rPr>
        <w:footnoteRef/>
      </w:r>
      <w:r>
        <w:t xml:space="preserve"> Die Familie Rosenthal konnte höchstens auf eine gelegentliche Unterstützung durch Verwandte rechnen, die sich 1931 in Paris niedergelassen hatten und hier eine Holz- und Kohlenhandlung betrieben. </w:t>
      </w:r>
    </w:p>
  </w:footnote>
  <w:footnote w:id="20">
    <w:p w:rsidR="00BE1152" w:rsidRDefault="00BE1152" w:rsidP="007E727B">
      <w:pPr>
        <w:spacing w:after="0" w:line="240" w:lineRule="auto"/>
      </w:pPr>
      <w:r>
        <w:rPr>
          <w:rStyle w:val="Funotenzeichen"/>
        </w:rPr>
        <w:footnoteRef/>
      </w:r>
      <w:r>
        <w:t xml:space="preserve"> </w:t>
      </w:r>
      <w:r w:rsidRPr="00EA0557">
        <w:rPr>
          <w:sz w:val="20"/>
          <w:szCs w:val="20"/>
        </w:rPr>
        <w:t xml:space="preserve">In der KPD </w:t>
      </w:r>
      <w:r>
        <w:rPr>
          <w:sz w:val="20"/>
          <w:szCs w:val="20"/>
        </w:rPr>
        <w:t xml:space="preserve">wurde in Bezug auf das Parteienexil von „politischen Flüchtlingen“ gesprochen, in Bezug auf die jüdische Emigrantion von „unpolitischen Emigranten“ bzw. von „Wirtschaftsemigranten“. </w:t>
      </w:r>
      <w:r w:rsidRPr="00145261">
        <w:rPr>
          <w:sz w:val="20"/>
          <w:szCs w:val="20"/>
        </w:rPr>
        <w:t>Curt Trepte</w:t>
      </w:r>
      <w:r>
        <w:rPr>
          <w:sz w:val="20"/>
          <w:szCs w:val="20"/>
        </w:rPr>
        <w:t xml:space="preserve"> z.B. spricht</w:t>
      </w:r>
      <w:r w:rsidRPr="00145261">
        <w:rPr>
          <w:sz w:val="20"/>
          <w:szCs w:val="20"/>
        </w:rPr>
        <w:t xml:space="preserve"> </w:t>
      </w:r>
      <w:r>
        <w:rPr>
          <w:sz w:val="20"/>
          <w:szCs w:val="20"/>
        </w:rPr>
        <w:t>i</w:t>
      </w:r>
      <w:r w:rsidRPr="00145261">
        <w:rPr>
          <w:sz w:val="20"/>
          <w:szCs w:val="20"/>
        </w:rPr>
        <w:t>n eine</w:t>
      </w:r>
      <w:r>
        <w:rPr>
          <w:sz w:val="20"/>
          <w:szCs w:val="20"/>
        </w:rPr>
        <w:t>r</w:t>
      </w:r>
      <w:r w:rsidRPr="00145261">
        <w:rPr>
          <w:sz w:val="20"/>
          <w:szCs w:val="20"/>
        </w:rPr>
        <w:t xml:space="preserve"> nach </w:t>
      </w:r>
      <w:r>
        <w:rPr>
          <w:sz w:val="20"/>
          <w:szCs w:val="20"/>
        </w:rPr>
        <w:t xml:space="preserve">dem </w:t>
      </w:r>
      <w:r w:rsidRPr="00145261">
        <w:rPr>
          <w:sz w:val="20"/>
          <w:szCs w:val="20"/>
        </w:rPr>
        <w:t>März 1943</w:t>
      </w:r>
      <w:r>
        <w:rPr>
          <w:sz w:val="20"/>
          <w:szCs w:val="20"/>
        </w:rPr>
        <w:t xml:space="preserve"> [!] </w:t>
      </w:r>
      <w:r w:rsidRPr="00145261">
        <w:rPr>
          <w:sz w:val="20"/>
          <w:szCs w:val="20"/>
        </w:rPr>
        <w:t>im schwedischen Exil</w:t>
      </w:r>
      <w:r w:rsidRPr="00CC0EDD">
        <w:rPr>
          <w:sz w:val="20"/>
          <w:szCs w:val="20"/>
        </w:rPr>
        <w:t xml:space="preserve"> </w:t>
      </w:r>
      <w:r>
        <w:rPr>
          <w:sz w:val="20"/>
          <w:szCs w:val="20"/>
        </w:rPr>
        <w:t>verfassten Aufstellung hinsichtlich der potentie</w:t>
      </w:r>
      <w:r>
        <w:rPr>
          <w:sz w:val="20"/>
          <w:szCs w:val="20"/>
        </w:rPr>
        <w:t>l</w:t>
      </w:r>
      <w:r>
        <w:rPr>
          <w:sz w:val="20"/>
          <w:szCs w:val="20"/>
        </w:rPr>
        <w:t xml:space="preserve">len Besucher von Veranstaltungen </w:t>
      </w:r>
      <w:r w:rsidRPr="00145261">
        <w:rPr>
          <w:sz w:val="20"/>
          <w:szCs w:val="20"/>
        </w:rPr>
        <w:t xml:space="preserve">des </w:t>
      </w:r>
      <w:r>
        <w:rPr>
          <w:sz w:val="20"/>
          <w:szCs w:val="20"/>
        </w:rPr>
        <w:t xml:space="preserve">zu dieser Zeit geplanten </w:t>
      </w:r>
      <w:r w:rsidRPr="00145261">
        <w:rPr>
          <w:sz w:val="20"/>
          <w:szCs w:val="20"/>
        </w:rPr>
        <w:t>Freien Deutschen Kulturbundes</w:t>
      </w:r>
      <w:r>
        <w:rPr>
          <w:sz w:val="20"/>
          <w:szCs w:val="20"/>
        </w:rPr>
        <w:t xml:space="preserve"> von ca.</w:t>
      </w:r>
      <w:r w:rsidRPr="00145261">
        <w:rPr>
          <w:sz w:val="20"/>
          <w:szCs w:val="20"/>
        </w:rPr>
        <w:t xml:space="preserve"> „450 ‚reichsdeutsche</w:t>
      </w:r>
      <w:r>
        <w:rPr>
          <w:sz w:val="20"/>
          <w:szCs w:val="20"/>
        </w:rPr>
        <w:t>[n]</w:t>
      </w:r>
      <w:r w:rsidRPr="00145261">
        <w:rPr>
          <w:sz w:val="20"/>
          <w:szCs w:val="20"/>
        </w:rPr>
        <w:t>‘ und 150 ‚österreichische</w:t>
      </w:r>
      <w:r>
        <w:rPr>
          <w:sz w:val="20"/>
          <w:szCs w:val="20"/>
        </w:rPr>
        <w:t>[n]</w:t>
      </w:r>
      <w:r w:rsidRPr="00145261">
        <w:rPr>
          <w:sz w:val="20"/>
          <w:szCs w:val="20"/>
        </w:rPr>
        <w:t xml:space="preserve"> </w:t>
      </w:r>
      <w:r w:rsidRPr="007E727B">
        <w:rPr>
          <w:i/>
          <w:sz w:val="20"/>
          <w:szCs w:val="20"/>
        </w:rPr>
        <w:t>Wirtschaftsemigranten</w:t>
      </w:r>
      <w:r w:rsidRPr="00145261">
        <w:rPr>
          <w:sz w:val="20"/>
          <w:szCs w:val="20"/>
        </w:rPr>
        <w:t>‘, [und] 120 bzw. 60 ‚politische[n] Flüch</w:t>
      </w:r>
      <w:r w:rsidRPr="00145261">
        <w:rPr>
          <w:sz w:val="20"/>
          <w:szCs w:val="20"/>
        </w:rPr>
        <w:t>t</w:t>
      </w:r>
      <w:r w:rsidRPr="00145261">
        <w:rPr>
          <w:sz w:val="20"/>
          <w:szCs w:val="20"/>
        </w:rPr>
        <w:t>linge</w:t>
      </w:r>
      <w:r>
        <w:rPr>
          <w:sz w:val="20"/>
          <w:szCs w:val="20"/>
        </w:rPr>
        <w:t>[n]</w:t>
      </w:r>
      <w:r w:rsidRPr="00145261">
        <w:rPr>
          <w:sz w:val="20"/>
          <w:szCs w:val="20"/>
        </w:rPr>
        <w:t xml:space="preserve">‘“. </w:t>
      </w:r>
      <w:r>
        <w:rPr>
          <w:sz w:val="20"/>
          <w:szCs w:val="20"/>
        </w:rPr>
        <w:t xml:space="preserve">Vgl. Helmut </w:t>
      </w:r>
      <w:r w:rsidRPr="00145261">
        <w:rPr>
          <w:sz w:val="20"/>
          <w:szCs w:val="20"/>
        </w:rPr>
        <w:t>Müssener: Deutschsprachiges Theater im skandinavischen Exil</w:t>
      </w:r>
      <w:r>
        <w:rPr>
          <w:sz w:val="20"/>
          <w:szCs w:val="20"/>
        </w:rPr>
        <w:t xml:space="preserve">. In: </w:t>
      </w:r>
      <w:r w:rsidRPr="00CC0EDD">
        <w:rPr>
          <w:i/>
          <w:sz w:val="20"/>
          <w:szCs w:val="20"/>
        </w:rPr>
        <w:t>Handbuch des deutschsprachigen Exiltheaters</w:t>
      </w:r>
      <w:r>
        <w:rPr>
          <w:sz w:val="20"/>
          <w:szCs w:val="20"/>
        </w:rPr>
        <w:t>. Bd. 1</w:t>
      </w:r>
      <w:r w:rsidRPr="00145261">
        <w:rPr>
          <w:sz w:val="20"/>
          <w:szCs w:val="20"/>
        </w:rPr>
        <w:t>, S. 331</w:t>
      </w:r>
      <w:r>
        <w:rPr>
          <w:sz w:val="20"/>
          <w:szCs w:val="20"/>
        </w:rPr>
        <w:t xml:space="preserve"> (Hervorhebung – F.T</w:t>
      </w:r>
      <w:r w:rsidRPr="00145261">
        <w:rPr>
          <w:sz w:val="20"/>
          <w:szCs w:val="20"/>
        </w:rPr>
        <w:t>.</w:t>
      </w:r>
      <w:r>
        <w:rPr>
          <w:sz w:val="20"/>
          <w:szCs w:val="20"/>
        </w:rPr>
        <w:t>).</w:t>
      </w:r>
      <w:r w:rsidRPr="00145261">
        <w:rPr>
          <w:sz w:val="20"/>
          <w:szCs w:val="20"/>
        </w:rPr>
        <w:t xml:space="preserve"> </w:t>
      </w:r>
    </w:p>
  </w:footnote>
  <w:footnote w:id="21">
    <w:p w:rsidR="00BE1152" w:rsidRDefault="00BE1152">
      <w:pPr>
        <w:pStyle w:val="Funotentext"/>
      </w:pPr>
      <w:r>
        <w:rPr>
          <w:rStyle w:val="Funotenzeichen"/>
        </w:rPr>
        <w:footnoteRef/>
      </w:r>
      <w:r>
        <w:t xml:space="preserve"> Julia Franke verwendet in ihrer Untersuchung über die jüdischen Emigranten in Paris den Begriff „passivpol</w:t>
      </w:r>
      <w:r>
        <w:t>i</w:t>
      </w:r>
      <w:r>
        <w:t>tische“ Emigranten (a.a.O., S. 40). Aus meiner Sicht ist der Begriff missverständlich und deshalb ungeeignet.</w:t>
      </w:r>
    </w:p>
  </w:footnote>
  <w:footnote w:id="22">
    <w:p w:rsidR="00BE1152" w:rsidRPr="0036235F" w:rsidRDefault="00BE1152" w:rsidP="00937BBC">
      <w:pPr>
        <w:pStyle w:val="Funotentext"/>
      </w:pPr>
      <w:r>
        <w:rPr>
          <w:rStyle w:val="Funotenzeichen"/>
        </w:rPr>
        <w:footnoteRef/>
      </w:r>
      <w:r>
        <w:t xml:space="preserve"> Vgl. hierzu Hans-Norbert Burkert, Klaus Matußek, Wolfgang Wippermann: </w:t>
      </w:r>
      <w:r>
        <w:rPr>
          <w:i/>
        </w:rPr>
        <w:t>„Machtergreifung“ Berlin 1933</w:t>
      </w:r>
      <w:r>
        <w:t xml:space="preserve">. Berlin 1982; Heiko Roskamp: </w:t>
      </w:r>
      <w:r>
        <w:rPr>
          <w:i/>
        </w:rPr>
        <w:t>Verfolgung und Widerstand.</w:t>
      </w:r>
      <w:r>
        <w:t xml:space="preserve"> Tiergarten – Ein Bezirk im Spannungsfeld der G</w:t>
      </w:r>
      <w:r>
        <w:t>e</w:t>
      </w:r>
      <w:r>
        <w:t xml:space="preserve">schichte 1933 – 1945 (= Stätten der Geschichte Berlins. Bd. 8.). Berlin [1985]; </w:t>
      </w:r>
      <w:r>
        <w:rPr>
          <w:i/>
        </w:rPr>
        <w:t>Die Verfolgung und Ermordung der europäischen Juden durch das nationalsozialistische Deutschland 1933 – 1945.</w:t>
      </w:r>
      <w:r>
        <w:t xml:space="preserve"> Bd. 1: </w:t>
      </w:r>
      <w:r>
        <w:rPr>
          <w:i/>
        </w:rPr>
        <w:t>Deutsches Reich 1933 – 1937.</w:t>
      </w:r>
      <w:r>
        <w:t xml:space="preserve"> Bearbeitet von Wolf Gruner. München 2008. </w:t>
      </w:r>
    </w:p>
  </w:footnote>
  <w:footnote w:id="23">
    <w:p w:rsidR="00BE1152" w:rsidRPr="00650917" w:rsidRDefault="00BE1152">
      <w:pPr>
        <w:pStyle w:val="Funotentext"/>
      </w:pPr>
      <w:r>
        <w:rPr>
          <w:rStyle w:val="Funotenzeichen"/>
        </w:rPr>
        <w:footnoteRef/>
      </w:r>
      <w:r w:rsidRPr="00650917">
        <w:t xml:space="preserve"> Vgl. z.B. d</w:t>
      </w:r>
      <w:r>
        <w:t xml:space="preserve">ie Stellungnahme von Heinrich Mann: Heinrich Mann zu den Pogromen im Dritten Reich. – In: </w:t>
      </w:r>
      <w:r>
        <w:rPr>
          <w:i/>
        </w:rPr>
        <w:t>Rundschau über Politik, Wirtschaft und Arbeiterbewegung.</w:t>
      </w:r>
      <w:r>
        <w:t xml:space="preserve"> Basel. Jg. 7, Nr. 58, 1. Dezember 1938, S. 2008. </w:t>
      </w:r>
    </w:p>
  </w:footnote>
  <w:footnote w:id="24">
    <w:p w:rsidR="00BE1152" w:rsidRPr="00463014" w:rsidRDefault="00BE1152" w:rsidP="00485E3B">
      <w:pPr>
        <w:pStyle w:val="Funotentext"/>
      </w:pPr>
      <w:r>
        <w:rPr>
          <w:rStyle w:val="Funotenzeichen"/>
        </w:rPr>
        <w:footnoteRef/>
      </w:r>
      <w:r w:rsidRPr="00463014">
        <w:t xml:space="preserve"> Zur Be</w:t>
      </w:r>
      <w:r>
        <w:t xml:space="preserve">grifflichkeit vgl. </w:t>
      </w:r>
      <w:r w:rsidRPr="00463014">
        <w:t xml:space="preserve">Julia Franke: </w:t>
      </w:r>
      <w:r w:rsidRPr="00463014">
        <w:rPr>
          <w:i/>
        </w:rPr>
        <w:t>Paris</w:t>
      </w:r>
      <w:r w:rsidRPr="00463014">
        <w:t>, a.a.O., S. 213 – 228.</w:t>
      </w:r>
    </w:p>
  </w:footnote>
  <w:footnote w:id="25">
    <w:p w:rsidR="00BE1152" w:rsidRPr="002043E7" w:rsidRDefault="00BE1152">
      <w:pPr>
        <w:pStyle w:val="Funotentext"/>
      </w:pPr>
      <w:r>
        <w:rPr>
          <w:rStyle w:val="Funotenzeichen"/>
        </w:rPr>
        <w:footnoteRef/>
      </w:r>
      <w:r>
        <w:t xml:space="preserve"> </w:t>
      </w:r>
      <w:r>
        <w:rPr>
          <w:i/>
        </w:rPr>
        <w:t>Pariser Tageblatt</w:t>
      </w:r>
      <w:r>
        <w:t>, 2. Jg., Nr. 290 (28. September 1934), S. 3.</w:t>
      </w:r>
    </w:p>
  </w:footnote>
  <w:footnote w:id="26">
    <w:p w:rsidR="00BE1152" w:rsidRPr="004414E3" w:rsidRDefault="00BE1152">
      <w:pPr>
        <w:pStyle w:val="Funotentext"/>
      </w:pPr>
      <w:r>
        <w:rPr>
          <w:rStyle w:val="Funotenzeichen"/>
        </w:rPr>
        <w:footnoteRef/>
      </w:r>
      <w:r>
        <w:t xml:space="preserve"> Zur „Deutsche Kommission“, einem Hilfskomitee, vgl. Franke: </w:t>
      </w:r>
      <w:r>
        <w:rPr>
          <w:i/>
        </w:rPr>
        <w:t>Paris,</w:t>
      </w:r>
      <w:r>
        <w:t xml:space="preserve"> S. 187.</w:t>
      </w:r>
    </w:p>
  </w:footnote>
  <w:footnote w:id="27">
    <w:p w:rsidR="00BE1152" w:rsidRPr="00AE68BD" w:rsidRDefault="00BE1152">
      <w:pPr>
        <w:pStyle w:val="Funotentext"/>
      </w:pPr>
      <w:r>
        <w:rPr>
          <w:rStyle w:val="Funotenzeichen"/>
        </w:rPr>
        <w:footnoteRef/>
      </w:r>
      <w:r>
        <w:t xml:space="preserve"> Franke: </w:t>
      </w:r>
      <w:r>
        <w:rPr>
          <w:i/>
        </w:rPr>
        <w:t>Paris</w:t>
      </w:r>
      <w:r>
        <w:t>, S. 179.</w:t>
      </w:r>
    </w:p>
  </w:footnote>
  <w:footnote w:id="28">
    <w:p w:rsidR="00BE1152" w:rsidRDefault="00BE1152">
      <w:pPr>
        <w:pStyle w:val="Funotentext"/>
      </w:pPr>
      <w:r>
        <w:rPr>
          <w:rStyle w:val="Funotenzeichen"/>
        </w:rPr>
        <w:footnoteRef/>
      </w:r>
      <w:r>
        <w:t xml:space="preserve"> </w:t>
      </w:r>
      <w:r w:rsidRPr="00090527">
        <w:t xml:space="preserve">Franke: </w:t>
      </w:r>
      <w:r w:rsidRPr="00090527">
        <w:rPr>
          <w:i/>
        </w:rPr>
        <w:t>Paris,</w:t>
      </w:r>
      <w:r>
        <w:t xml:space="preserve"> S. 213, Anm. 239.</w:t>
      </w:r>
    </w:p>
  </w:footnote>
  <w:footnote w:id="29">
    <w:p w:rsidR="00BE1152" w:rsidRPr="00D5779B" w:rsidRDefault="00BE1152" w:rsidP="00C250EB">
      <w:pPr>
        <w:pStyle w:val="Funotentext"/>
      </w:pPr>
      <w:r>
        <w:rPr>
          <w:rStyle w:val="Funotenzeichen"/>
        </w:rPr>
        <w:footnoteRef/>
      </w:r>
      <w:r>
        <w:t xml:space="preserve"> So der Text eines Modellbriefes, den Hilde von Praag vorbereitet hatte (Andreas Winkler: </w:t>
      </w:r>
      <w:r>
        <w:rPr>
          <w:i/>
        </w:rPr>
        <w:t>Hermann Kesten im Exil (1933 – 1940).</w:t>
      </w:r>
      <w:r>
        <w:t xml:space="preserve"> Sein politisches und künstlerisches Selbstverständnis und seine Tätigkeit als Lektor in der deutschen Abteilung des Allert de Lange Verlages. Hamburg 1977, S. 115. – Die Sammlung erschien 1933 unter dem Titel „Novellen deutscher Dichter der Gegenwart“.</w:t>
      </w:r>
    </w:p>
  </w:footnote>
  <w:footnote w:id="30">
    <w:p w:rsidR="00BE1152" w:rsidRPr="00211168" w:rsidRDefault="00BE1152" w:rsidP="00C250EB">
      <w:pPr>
        <w:pStyle w:val="Funotentext"/>
      </w:pPr>
      <w:r>
        <w:rPr>
          <w:rStyle w:val="Funotenzeichen"/>
        </w:rPr>
        <w:footnoteRef/>
      </w:r>
      <w:r>
        <w:t xml:space="preserve"> Zu Einzelheiten dieses Vorhabens s. Winkler: </w:t>
      </w:r>
      <w:r>
        <w:rPr>
          <w:i/>
        </w:rPr>
        <w:t>Kesten</w:t>
      </w:r>
      <w:r>
        <w:t>, S. 113 – 130.</w:t>
      </w:r>
    </w:p>
  </w:footnote>
  <w:footnote w:id="31">
    <w:p w:rsidR="00BE1152" w:rsidRPr="008E0254" w:rsidRDefault="00BE1152">
      <w:pPr>
        <w:pStyle w:val="Funotentext"/>
      </w:pPr>
      <w:r>
        <w:rPr>
          <w:rStyle w:val="Funotenzeichen"/>
        </w:rPr>
        <w:footnoteRef/>
      </w:r>
      <w:r>
        <w:t xml:space="preserve"> </w:t>
      </w:r>
      <w:r>
        <w:rPr>
          <w:i/>
        </w:rPr>
        <w:t>Deutsche Literatur im Exil.</w:t>
      </w:r>
      <w:r>
        <w:t xml:space="preserve"> Briefe europäischer Autoren 1933 – 1949. Hrsg. von Hermann Kesten. Frankfurt a.M. 1973, S. 38.</w:t>
      </w:r>
    </w:p>
  </w:footnote>
  <w:footnote w:id="32">
    <w:p w:rsidR="00BE1152" w:rsidRPr="0084134F" w:rsidRDefault="00BE1152" w:rsidP="0084134F">
      <w:pPr>
        <w:pStyle w:val="Funotentext"/>
      </w:pPr>
      <w:r>
        <w:rPr>
          <w:rStyle w:val="Funotenzeichen"/>
        </w:rPr>
        <w:footnoteRef/>
      </w:r>
      <w:r>
        <w:t xml:space="preserve"> Zitiert bei Julia Franke: </w:t>
      </w:r>
      <w:r>
        <w:rPr>
          <w:i/>
        </w:rPr>
        <w:t>Paris</w:t>
      </w:r>
      <w:r>
        <w:t>, S. 220. Hervorhebungen – F.T. – In dem von Julia Franke angeführten Aufsatz „Organisiert die Emigration“ findet sich das Zitat jedoch nicht.</w:t>
      </w:r>
    </w:p>
  </w:footnote>
  <w:footnote w:id="33">
    <w:p w:rsidR="00BE1152" w:rsidRPr="00A9229D" w:rsidRDefault="00BE1152">
      <w:pPr>
        <w:pStyle w:val="Funotentext"/>
      </w:pPr>
      <w:r>
        <w:rPr>
          <w:rStyle w:val="Funotenzeichen"/>
        </w:rPr>
        <w:footnoteRef/>
      </w:r>
      <w:r>
        <w:t xml:space="preserve"> Zitiert nach Alfred Kantorowicz: </w:t>
      </w:r>
      <w:r>
        <w:rPr>
          <w:i/>
        </w:rPr>
        <w:t>Nachtbücher</w:t>
      </w:r>
      <w:r>
        <w:t xml:space="preserve">. Aufzeichnungen im französischen Exil 1935 bis 1939. Hrsg. von Ursula Büttner u. Angelika Voß. Hamburg 1995, S. 304 (Eintrag unter dem 2. September 1939). - In der Zweitveröffentlichung: </w:t>
      </w:r>
      <w:r>
        <w:rPr>
          <w:i/>
        </w:rPr>
        <w:t>In unserem Lager ist Deutschland.</w:t>
      </w:r>
      <w:r>
        <w:t xml:space="preserve"> Reden und Aufsätze (Mit einem Geleitwort von R</w:t>
      </w:r>
      <w:r>
        <w:t>o</w:t>
      </w:r>
      <w:r>
        <w:t xml:space="preserve">main Rolland). Paris: Édition du Phénix 1936, lautet der Abschnitt, den Kantorowicz in den </w:t>
      </w:r>
      <w:r>
        <w:rPr>
          <w:i/>
        </w:rPr>
        <w:t>Nachtbüchern</w:t>
      </w:r>
      <w:r>
        <w:t xml:space="preserve"> ebe</w:t>
      </w:r>
      <w:r>
        <w:t>n</w:t>
      </w:r>
      <w:r>
        <w:t>falls zitiert: Aus diesem Grund „leidet die wirkliche [!], die politische, die kämpfende Emigration unter der B</w:t>
      </w:r>
      <w:r>
        <w:t>e</w:t>
      </w:r>
      <w:r>
        <w:t xml:space="preserve">griffsverwirrung, die jeden, der aus [wer] weiß welchen Gründen die Grenz überschritten hatte, als Emigranten ansprach: die Schieber, Schnorrer, Emigrationsgewinnler, zweifelhafte[n] Kavaliere, die auf die Kunde von den Hilfskomitees aus aller Herren Länder nach Paris eilten, und, dem Geschäft des Schnorrens besser vertraut als antifaschistische Arbeiter, tatsächlich den Rahm abschöpften. […]“ </w:t>
      </w:r>
    </w:p>
  </w:footnote>
  <w:footnote w:id="34">
    <w:p w:rsidR="00BE1152" w:rsidRPr="006F0D24" w:rsidRDefault="00BE1152">
      <w:pPr>
        <w:pStyle w:val="Funotentext"/>
      </w:pPr>
      <w:r>
        <w:rPr>
          <w:rStyle w:val="Funotenzeichen"/>
        </w:rPr>
        <w:footnoteRef/>
      </w:r>
      <w:r>
        <w:t xml:space="preserve"> Horst Duhnke: </w:t>
      </w:r>
      <w:r>
        <w:rPr>
          <w:i/>
        </w:rPr>
        <w:t>Die KPD von 1933 bis 1945.</w:t>
      </w:r>
      <w:r>
        <w:t xml:space="preserve"> Köln 1972, S. 73. Zitiert wird die die </w:t>
      </w:r>
      <w:r>
        <w:rPr>
          <w:i/>
        </w:rPr>
        <w:t>Rundschau über Politik, Wirtschaft und Arbeiterbewegung</w:t>
      </w:r>
      <w:r>
        <w:t>, Nr. 8, 1933, S. 197 f. sowie die „Stellungnahme der KPD zu den faschist</w:t>
      </w:r>
      <w:r>
        <w:t>i</w:t>
      </w:r>
      <w:r>
        <w:t>schen Judenverfolgungen in Deutschland“ (</w:t>
      </w:r>
      <w:r>
        <w:rPr>
          <w:i/>
        </w:rPr>
        <w:t>Rundschau</w:t>
      </w:r>
      <w:r>
        <w:t>, Nr. 9/1933).</w:t>
      </w:r>
    </w:p>
  </w:footnote>
  <w:footnote w:id="35">
    <w:p w:rsidR="00BE1152" w:rsidRPr="00C825F8" w:rsidRDefault="00BE1152">
      <w:pPr>
        <w:pStyle w:val="Funotentext"/>
      </w:pPr>
      <w:r>
        <w:rPr>
          <w:rStyle w:val="Funotenzeichen"/>
        </w:rPr>
        <w:footnoteRef/>
      </w:r>
      <w:r>
        <w:t xml:space="preserve"> Julia Franke: </w:t>
      </w:r>
      <w:r>
        <w:rPr>
          <w:i/>
        </w:rPr>
        <w:t>Paris</w:t>
      </w:r>
      <w:r>
        <w:t>, S. 223.</w:t>
      </w:r>
    </w:p>
  </w:footnote>
  <w:footnote w:id="36">
    <w:p w:rsidR="00BE1152" w:rsidRPr="0043787B" w:rsidRDefault="00BE1152">
      <w:pPr>
        <w:pStyle w:val="Funotentext"/>
      </w:pPr>
      <w:r>
        <w:rPr>
          <w:rStyle w:val="Funotenzeichen"/>
        </w:rPr>
        <w:footnoteRef/>
      </w:r>
      <w:r>
        <w:t xml:space="preserve"> Horst Duhnke: </w:t>
      </w:r>
      <w:r>
        <w:rPr>
          <w:i/>
        </w:rPr>
        <w:t>Die KPD</w:t>
      </w:r>
      <w:r>
        <w:t>, S. 63 – 66.</w:t>
      </w:r>
    </w:p>
  </w:footnote>
  <w:footnote w:id="37">
    <w:p w:rsidR="00BE1152" w:rsidRPr="00441A3F" w:rsidRDefault="00BE1152">
      <w:pPr>
        <w:pStyle w:val="Funotentext"/>
      </w:pPr>
      <w:r>
        <w:rPr>
          <w:rStyle w:val="Funotenzeichen"/>
        </w:rPr>
        <w:footnoteRef/>
      </w:r>
      <w:r>
        <w:t xml:space="preserve"> Vgl. Franz Norbert Mennemeier/Frithjof Trapp: </w:t>
      </w:r>
      <w:r>
        <w:rPr>
          <w:i/>
        </w:rPr>
        <w:t>Deutsche Exildramatik 1933 – 1950.</w:t>
      </w:r>
      <w:r>
        <w:t xml:space="preserve"> München 1980, S. 53.</w:t>
      </w:r>
    </w:p>
  </w:footnote>
  <w:footnote w:id="38">
    <w:p w:rsidR="00BE1152" w:rsidRPr="00980912" w:rsidRDefault="00BE1152" w:rsidP="00247E89">
      <w:pPr>
        <w:pStyle w:val="Funotentext"/>
      </w:pPr>
      <w:r>
        <w:rPr>
          <w:rStyle w:val="Funotenzeichen"/>
        </w:rPr>
        <w:footnoteRef/>
      </w:r>
      <w:r>
        <w:t xml:space="preserve"> Zur Entstehung des Stückes, der Vorlage, den Songs und den verschiedenen Fassungen vgl. Jan Knopf: </w:t>
      </w:r>
      <w:r>
        <w:rPr>
          <w:i/>
        </w:rPr>
        <w:t>Brecht-Handbuch</w:t>
      </w:r>
      <w:r>
        <w:t>. Theater. Stuttgart 1980, S. 127 – 137.</w:t>
      </w:r>
    </w:p>
  </w:footnote>
  <w:footnote w:id="39">
    <w:p w:rsidR="00BE1152" w:rsidRPr="00410981" w:rsidRDefault="00BE1152" w:rsidP="00514BCC">
      <w:pPr>
        <w:pStyle w:val="Funotentext"/>
      </w:pPr>
      <w:r>
        <w:rPr>
          <w:rStyle w:val="Funotenzeichen"/>
        </w:rPr>
        <w:footnoteRef/>
      </w:r>
      <w:r w:rsidRPr="00410981">
        <w:t xml:space="preserve"> Lion Feucht</w:t>
      </w:r>
      <w:r>
        <w:t xml:space="preserve">wanger: </w:t>
      </w:r>
      <w:r>
        <w:rPr>
          <w:i/>
        </w:rPr>
        <w:t xml:space="preserve">Exil. </w:t>
      </w:r>
      <w:r>
        <w:t xml:space="preserve">3. </w:t>
      </w:r>
      <w:r w:rsidRPr="00981BAC">
        <w:t xml:space="preserve">Aufl. </w:t>
      </w:r>
      <w:r w:rsidRPr="00410981">
        <w:t>Berlin</w:t>
      </w:r>
      <w:r>
        <w:t xml:space="preserve">/Weimar 1974, </w:t>
      </w:r>
      <w:r w:rsidRPr="00410981">
        <w:t>S. 121 f.</w:t>
      </w:r>
      <w:r>
        <w:t xml:space="preserve"> Hervorhebung – F.T.</w:t>
      </w:r>
    </w:p>
  </w:footnote>
  <w:footnote w:id="40">
    <w:p w:rsidR="00BE1152" w:rsidRDefault="00BE1152" w:rsidP="00C40869">
      <w:pPr>
        <w:pStyle w:val="Funotentext"/>
      </w:pPr>
      <w:r>
        <w:rPr>
          <w:rStyle w:val="Funotenzeichen"/>
        </w:rPr>
        <w:footnoteRef/>
      </w:r>
      <w:r>
        <w:t xml:space="preserve"> S. 122.</w:t>
      </w:r>
    </w:p>
  </w:footnote>
  <w:footnote w:id="41">
    <w:p w:rsidR="00BE1152" w:rsidRPr="00D25AC1" w:rsidRDefault="00BE1152" w:rsidP="005F092C">
      <w:pPr>
        <w:pStyle w:val="Funotentext"/>
      </w:pPr>
      <w:r>
        <w:rPr>
          <w:rStyle w:val="Funotenzeichen"/>
        </w:rPr>
        <w:footnoteRef/>
      </w:r>
      <w:r w:rsidRPr="00D25AC1">
        <w:t xml:space="preserve"> Feuchtwanger: </w:t>
      </w:r>
      <w:r w:rsidRPr="00D25AC1">
        <w:rPr>
          <w:i/>
        </w:rPr>
        <w:t xml:space="preserve">Exil, </w:t>
      </w:r>
      <w:r w:rsidRPr="00D25AC1">
        <w:t>S. 339.</w:t>
      </w:r>
    </w:p>
  </w:footnote>
  <w:footnote w:id="42">
    <w:p w:rsidR="00BE1152" w:rsidRPr="00FC45BC" w:rsidRDefault="00BE1152" w:rsidP="005F092C">
      <w:pPr>
        <w:pStyle w:val="Funotentext"/>
      </w:pPr>
      <w:r>
        <w:rPr>
          <w:rStyle w:val="Funotenzeichen"/>
        </w:rPr>
        <w:footnoteRef/>
      </w:r>
      <w:r w:rsidRPr="00FC45BC">
        <w:t xml:space="preserve"> A.a.O., S. 348 ff.</w:t>
      </w:r>
    </w:p>
  </w:footnote>
  <w:footnote w:id="43">
    <w:p w:rsidR="00BE1152" w:rsidRPr="00410981" w:rsidRDefault="00BE1152" w:rsidP="005F092C">
      <w:pPr>
        <w:pStyle w:val="Funotentext"/>
      </w:pPr>
      <w:r>
        <w:rPr>
          <w:rStyle w:val="Funotenzeichen"/>
        </w:rPr>
        <w:footnoteRef/>
      </w:r>
      <w:r w:rsidRPr="00410981">
        <w:t xml:space="preserve"> S. 349.</w:t>
      </w:r>
    </w:p>
  </w:footnote>
  <w:footnote w:id="44">
    <w:p w:rsidR="00BE1152" w:rsidRDefault="00BE1152" w:rsidP="00F91EC5">
      <w:pPr>
        <w:spacing w:after="0" w:line="240" w:lineRule="auto"/>
      </w:pPr>
      <w:r>
        <w:rPr>
          <w:rStyle w:val="Funotenzeichen"/>
        </w:rPr>
        <w:footnoteRef/>
      </w:r>
      <w:r>
        <w:t xml:space="preserve"> </w:t>
      </w:r>
      <w:r w:rsidRPr="00EC2F70">
        <w:rPr>
          <w:sz w:val="20"/>
          <w:szCs w:val="20"/>
        </w:rPr>
        <w:t>S. Kapitel 10: Krise und Desillusionierung. -</w:t>
      </w:r>
      <w:r>
        <w:t xml:space="preserve"> </w:t>
      </w:r>
      <w:r w:rsidRPr="00CE7633">
        <w:rPr>
          <w:sz w:val="20"/>
          <w:szCs w:val="20"/>
        </w:rPr>
        <w:t>Bekannter als Wladimir Poliakow ist sein Sohn, der berühmte französische Rassismus- und Antisemitismus-Forscher Léon Poliakov.</w:t>
      </w:r>
    </w:p>
  </w:footnote>
  <w:footnote w:id="45">
    <w:p w:rsidR="00BE1152" w:rsidRDefault="00BE1152" w:rsidP="00A3444F">
      <w:pPr>
        <w:pStyle w:val="Funotentext"/>
      </w:pPr>
      <w:r>
        <w:rPr>
          <w:rStyle w:val="Funotenzeichen"/>
        </w:rPr>
        <w:footnoteRef/>
      </w:r>
      <w:r>
        <w:t xml:space="preserve"> So Gerda Raßler unter Bezug auf die Meldung von Poljakows Tod in der </w:t>
      </w:r>
      <w:r>
        <w:rPr>
          <w:i/>
        </w:rPr>
        <w:t xml:space="preserve">Pariser Tageszeitung </w:t>
      </w:r>
      <w:r>
        <w:t xml:space="preserve">(Gerda Raßler: Vorwort. In: </w:t>
      </w:r>
      <w:r w:rsidRPr="005755E8">
        <w:rPr>
          <w:i/>
        </w:rPr>
        <w:t>Pariser Tageblatt/Pariser Tageszeitung 1933 – 1940</w:t>
      </w:r>
      <w:r>
        <w:t>. Eine Auswahlbibliographie. Berlin/Weimar 1989, S.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29"/>
      <w:docPartObj>
        <w:docPartGallery w:val="Page Numbers (Top of Page)"/>
        <w:docPartUnique/>
      </w:docPartObj>
    </w:sdtPr>
    <w:sdtEndPr/>
    <w:sdtContent>
      <w:p w:rsidR="00BE1152" w:rsidRDefault="00F751A9">
        <w:pPr>
          <w:pStyle w:val="Kopfzeile"/>
          <w:jc w:val="right"/>
        </w:pPr>
        <w:r>
          <w:fldChar w:fldCharType="begin"/>
        </w:r>
        <w:r>
          <w:instrText xml:space="preserve"> PAGE   \* MERGEFORMAT </w:instrText>
        </w:r>
        <w:r>
          <w:fldChar w:fldCharType="separate"/>
        </w:r>
        <w:r w:rsidR="001724AA">
          <w:rPr>
            <w:noProof/>
          </w:rPr>
          <w:t>2</w:t>
        </w:r>
        <w:r>
          <w:rPr>
            <w:noProof/>
          </w:rPr>
          <w:fldChar w:fldCharType="end"/>
        </w:r>
      </w:p>
    </w:sdtContent>
  </w:sdt>
  <w:p w:rsidR="00BE1152" w:rsidRDefault="00BE11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5897"/>
    <w:rsid w:val="000001B3"/>
    <w:rsid w:val="00001B12"/>
    <w:rsid w:val="000073B5"/>
    <w:rsid w:val="00016A36"/>
    <w:rsid w:val="00024851"/>
    <w:rsid w:val="00024CAD"/>
    <w:rsid w:val="00042054"/>
    <w:rsid w:val="00046F70"/>
    <w:rsid w:val="000474CD"/>
    <w:rsid w:val="00057937"/>
    <w:rsid w:val="00070C93"/>
    <w:rsid w:val="00071CC1"/>
    <w:rsid w:val="00077673"/>
    <w:rsid w:val="00081A98"/>
    <w:rsid w:val="00087A29"/>
    <w:rsid w:val="00090527"/>
    <w:rsid w:val="0009255C"/>
    <w:rsid w:val="00096937"/>
    <w:rsid w:val="000B256B"/>
    <w:rsid w:val="000B3292"/>
    <w:rsid w:val="000B39C0"/>
    <w:rsid w:val="000B5DB1"/>
    <w:rsid w:val="000B7D36"/>
    <w:rsid w:val="000D1815"/>
    <w:rsid w:val="000D27A6"/>
    <w:rsid w:val="00101003"/>
    <w:rsid w:val="00112993"/>
    <w:rsid w:val="00114823"/>
    <w:rsid w:val="001304B5"/>
    <w:rsid w:val="001313D3"/>
    <w:rsid w:val="00133FA8"/>
    <w:rsid w:val="00137326"/>
    <w:rsid w:val="00152179"/>
    <w:rsid w:val="00152F20"/>
    <w:rsid w:val="00156AFE"/>
    <w:rsid w:val="00157F12"/>
    <w:rsid w:val="001724AA"/>
    <w:rsid w:val="00181D82"/>
    <w:rsid w:val="00183124"/>
    <w:rsid w:val="00185C3B"/>
    <w:rsid w:val="001A5411"/>
    <w:rsid w:val="001B19C0"/>
    <w:rsid w:val="001B3356"/>
    <w:rsid w:val="001B6465"/>
    <w:rsid w:val="001C4F1C"/>
    <w:rsid w:val="001E2924"/>
    <w:rsid w:val="001E3A1D"/>
    <w:rsid w:val="001E44F0"/>
    <w:rsid w:val="001E610B"/>
    <w:rsid w:val="001F3669"/>
    <w:rsid w:val="002043E7"/>
    <w:rsid w:val="002047A3"/>
    <w:rsid w:val="00211168"/>
    <w:rsid w:val="00214AA9"/>
    <w:rsid w:val="002222D6"/>
    <w:rsid w:val="00227D95"/>
    <w:rsid w:val="00230CED"/>
    <w:rsid w:val="00233CC9"/>
    <w:rsid w:val="00235E36"/>
    <w:rsid w:val="00241B4B"/>
    <w:rsid w:val="002462DB"/>
    <w:rsid w:val="002468CD"/>
    <w:rsid w:val="00247E89"/>
    <w:rsid w:val="0026225A"/>
    <w:rsid w:val="00276016"/>
    <w:rsid w:val="0028120B"/>
    <w:rsid w:val="002819B3"/>
    <w:rsid w:val="0028792C"/>
    <w:rsid w:val="002941F7"/>
    <w:rsid w:val="00297439"/>
    <w:rsid w:val="002A451C"/>
    <w:rsid w:val="002B4488"/>
    <w:rsid w:val="002B7D6C"/>
    <w:rsid w:val="002C40FA"/>
    <w:rsid w:val="002C4ABE"/>
    <w:rsid w:val="002C66AE"/>
    <w:rsid w:val="002D14E5"/>
    <w:rsid w:val="002D29F7"/>
    <w:rsid w:val="002F24D0"/>
    <w:rsid w:val="002F7010"/>
    <w:rsid w:val="0030305B"/>
    <w:rsid w:val="00313583"/>
    <w:rsid w:val="003172E3"/>
    <w:rsid w:val="0032150B"/>
    <w:rsid w:val="00332D31"/>
    <w:rsid w:val="0035162C"/>
    <w:rsid w:val="00354CBB"/>
    <w:rsid w:val="00361A99"/>
    <w:rsid w:val="0036235F"/>
    <w:rsid w:val="00373926"/>
    <w:rsid w:val="00374B1E"/>
    <w:rsid w:val="00381DE8"/>
    <w:rsid w:val="00382A8B"/>
    <w:rsid w:val="00392A38"/>
    <w:rsid w:val="00393A10"/>
    <w:rsid w:val="003B180E"/>
    <w:rsid w:val="003B62FF"/>
    <w:rsid w:val="003C0B4E"/>
    <w:rsid w:val="003C0DFA"/>
    <w:rsid w:val="003C5520"/>
    <w:rsid w:val="003E3547"/>
    <w:rsid w:val="003E51E7"/>
    <w:rsid w:val="003E7733"/>
    <w:rsid w:val="003F08EC"/>
    <w:rsid w:val="00405B23"/>
    <w:rsid w:val="00410981"/>
    <w:rsid w:val="00416EF5"/>
    <w:rsid w:val="00424E12"/>
    <w:rsid w:val="0043787B"/>
    <w:rsid w:val="004414E3"/>
    <w:rsid w:val="00441A3F"/>
    <w:rsid w:val="004533C1"/>
    <w:rsid w:val="00453AE7"/>
    <w:rsid w:val="00463014"/>
    <w:rsid w:val="004642E6"/>
    <w:rsid w:val="00467637"/>
    <w:rsid w:val="004802C6"/>
    <w:rsid w:val="00481107"/>
    <w:rsid w:val="00485E3B"/>
    <w:rsid w:val="004937FF"/>
    <w:rsid w:val="00494C4E"/>
    <w:rsid w:val="004A029F"/>
    <w:rsid w:val="004A1564"/>
    <w:rsid w:val="004A3401"/>
    <w:rsid w:val="004A6776"/>
    <w:rsid w:val="004B0D8B"/>
    <w:rsid w:val="004B0F8D"/>
    <w:rsid w:val="004B3D85"/>
    <w:rsid w:val="004C641D"/>
    <w:rsid w:val="004D0954"/>
    <w:rsid w:val="004E710C"/>
    <w:rsid w:val="004F22A3"/>
    <w:rsid w:val="004F6738"/>
    <w:rsid w:val="00501957"/>
    <w:rsid w:val="00502F40"/>
    <w:rsid w:val="005070EA"/>
    <w:rsid w:val="005136D7"/>
    <w:rsid w:val="00514BCC"/>
    <w:rsid w:val="00515E53"/>
    <w:rsid w:val="00521C89"/>
    <w:rsid w:val="00523240"/>
    <w:rsid w:val="00527604"/>
    <w:rsid w:val="005412F8"/>
    <w:rsid w:val="005503BF"/>
    <w:rsid w:val="005667F0"/>
    <w:rsid w:val="005707BB"/>
    <w:rsid w:val="00570EA3"/>
    <w:rsid w:val="005755E8"/>
    <w:rsid w:val="00580AB3"/>
    <w:rsid w:val="0058324F"/>
    <w:rsid w:val="00585041"/>
    <w:rsid w:val="005867ED"/>
    <w:rsid w:val="00593AD6"/>
    <w:rsid w:val="005A1311"/>
    <w:rsid w:val="005A2DE7"/>
    <w:rsid w:val="005A7907"/>
    <w:rsid w:val="005B6F9B"/>
    <w:rsid w:val="005C316B"/>
    <w:rsid w:val="005C63AB"/>
    <w:rsid w:val="005D1DAC"/>
    <w:rsid w:val="005D414C"/>
    <w:rsid w:val="005D5E89"/>
    <w:rsid w:val="005D6517"/>
    <w:rsid w:val="005E52D1"/>
    <w:rsid w:val="005F06B6"/>
    <w:rsid w:val="005F092C"/>
    <w:rsid w:val="005F6240"/>
    <w:rsid w:val="006009A3"/>
    <w:rsid w:val="006131F1"/>
    <w:rsid w:val="00620688"/>
    <w:rsid w:val="00621E6B"/>
    <w:rsid w:val="00623318"/>
    <w:rsid w:val="00627941"/>
    <w:rsid w:val="00634DEC"/>
    <w:rsid w:val="00640F17"/>
    <w:rsid w:val="006432BA"/>
    <w:rsid w:val="00647B1D"/>
    <w:rsid w:val="00650917"/>
    <w:rsid w:val="00656CFE"/>
    <w:rsid w:val="00660188"/>
    <w:rsid w:val="006615E3"/>
    <w:rsid w:val="00665901"/>
    <w:rsid w:val="0066761D"/>
    <w:rsid w:val="00672549"/>
    <w:rsid w:val="00677833"/>
    <w:rsid w:val="006A2541"/>
    <w:rsid w:val="006A31E9"/>
    <w:rsid w:val="006B1196"/>
    <w:rsid w:val="006B3A03"/>
    <w:rsid w:val="006B3A27"/>
    <w:rsid w:val="006B4085"/>
    <w:rsid w:val="006B6423"/>
    <w:rsid w:val="006D6C2D"/>
    <w:rsid w:val="006E4EF0"/>
    <w:rsid w:val="006F0D24"/>
    <w:rsid w:val="006F7B84"/>
    <w:rsid w:val="00700282"/>
    <w:rsid w:val="007032A7"/>
    <w:rsid w:val="007035BE"/>
    <w:rsid w:val="00711641"/>
    <w:rsid w:val="007221A7"/>
    <w:rsid w:val="007263D2"/>
    <w:rsid w:val="00731469"/>
    <w:rsid w:val="00732839"/>
    <w:rsid w:val="0074168E"/>
    <w:rsid w:val="007462C1"/>
    <w:rsid w:val="007753B5"/>
    <w:rsid w:val="007832DE"/>
    <w:rsid w:val="007864CA"/>
    <w:rsid w:val="00786900"/>
    <w:rsid w:val="007907D0"/>
    <w:rsid w:val="00792C3A"/>
    <w:rsid w:val="007A61D6"/>
    <w:rsid w:val="007B3F3F"/>
    <w:rsid w:val="007B4CE6"/>
    <w:rsid w:val="007B745F"/>
    <w:rsid w:val="007C5897"/>
    <w:rsid w:val="007D6AAB"/>
    <w:rsid w:val="007D7EAE"/>
    <w:rsid w:val="007E0B49"/>
    <w:rsid w:val="007E1305"/>
    <w:rsid w:val="007E4E48"/>
    <w:rsid w:val="007E6004"/>
    <w:rsid w:val="007E727B"/>
    <w:rsid w:val="007F1088"/>
    <w:rsid w:val="008041B1"/>
    <w:rsid w:val="00806C66"/>
    <w:rsid w:val="00810D81"/>
    <w:rsid w:val="00817AB9"/>
    <w:rsid w:val="00824D7B"/>
    <w:rsid w:val="00826C0A"/>
    <w:rsid w:val="00830CFE"/>
    <w:rsid w:val="0084134F"/>
    <w:rsid w:val="008511F5"/>
    <w:rsid w:val="0085243A"/>
    <w:rsid w:val="00852BF1"/>
    <w:rsid w:val="00853A5D"/>
    <w:rsid w:val="00862437"/>
    <w:rsid w:val="00864624"/>
    <w:rsid w:val="00881A42"/>
    <w:rsid w:val="00895A7D"/>
    <w:rsid w:val="00896599"/>
    <w:rsid w:val="00897C81"/>
    <w:rsid w:val="008A3274"/>
    <w:rsid w:val="008B03BF"/>
    <w:rsid w:val="008B2DCF"/>
    <w:rsid w:val="008B7001"/>
    <w:rsid w:val="008C266C"/>
    <w:rsid w:val="008C5870"/>
    <w:rsid w:val="008E0254"/>
    <w:rsid w:val="008E2A6F"/>
    <w:rsid w:val="008E5FFE"/>
    <w:rsid w:val="008E7C5E"/>
    <w:rsid w:val="008F2884"/>
    <w:rsid w:val="00901AF9"/>
    <w:rsid w:val="00903EA2"/>
    <w:rsid w:val="0091270D"/>
    <w:rsid w:val="009138BB"/>
    <w:rsid w:val="00915331"/>
    <w:rsid w:val="00920B1F"/>
    <w:rsid w:val="009310F4"/>
    <w:rsid w:val="00934DFB"/>
    <w:rsid w:val="009358DA"/>
    <w:rsid w:val="00937BBC"/>
    <w:rsid w:val="00943971"/>
    <w:rsid w:val="009442AF"/>
    <w:rsid w:val="0094486C"/>
    <w:rsid w:val="00951CA3"/>
    <w:rsid w:val="00952C82"/>
    <w:rsid w:val="00954FB9"/>
    <w:rsid w:val="00970D98"/>
    <w:rsid w:val="009726AA"/>
    <w:rsid w:val="00980912"/>
    <w:rsid w:val="00981BAC"/>
    <w:rsid w:val="00982721"/>
    <w:rsid w:val="00984436"/>
    <w:rsid w:val="00987154"/>
    <w:rsid w:val="009B04E8"/>
    <w:rsid w:val="009B71F5"/>
    <w:rsid w:val="009C277C"/>
    <w:rsid w:val="009D164B"/>
    <w:rsid w:val="009E36CD"/>
    <w:rsid w:val="009F3D74"/>
    <w:rsid w:val="00A01B11"/>
    <w:rsid w:val="00A0479D"/>
    <w:rsid w:val="00A0498A"/>
    <w:rsid w:val="00A14438"/>
    <w:rsid w:val="00A32A8B"/>
    <w:rsid w:val="00A3444F"/>
    <w:rsid w:val="00A47B0F"/>
    <w:rsid w:val="00A52F91"/>
    <w:rsid w:val="00A54BEE"/>
    <w:rsid w:val="00A563AE"/>
    <w:rsid w:val="00A57743"/>
    <w:rsid w:val="00A709D0"/>
    <w:rsid w:val="00A7235E"/>
    <w:rsid w:val="00A73EBC"/>
    <w:rsid w:val="00A75F05"/>
    <w:rsid w:val="00A779A0"/>
    <w:rsid w:val="00A86D6F"/>
    <w:rsid w:val="00A9229D"/>
    <w:rsid w:val="00AA1A27"/>
    <w:rsid w:val="00AA522E"/>
    <w:rsid w:val="00AB05BE"/>
    <w:rsid w:val="00AB543C"/>
    <w:rsid w:val="00AC3160"/>
    <w:rsid w:val="00AC5D5A"/>
    <w:rsid w:val="00AC7065"/>
    <w:rsid w:val="00AE3A06"/>
    <w:rsid w:val="00AE68BD"/>
    <w:rsid w:val="00AE7C45"/>
    <w:rsid w:val="00AF2182"/>
    <w:rsid w:val="00AF3779"/>
    <w:rsid w:val="00AF625D"/>
    <w:rsid w:val="00AF756C"/>
    <w:rsid w:val="00B0212A"/>
    <w:rsid w:val="00B13BA1"/>
    <w:rsid w:val="00B16895"/>
    <w:rsid w:val="00B213B0"/>
    <w:rsid w:val="00B222EF"/>
    <w:rsid w:val="00B258EC"/>
    <w:rsid w:val="00B30338"/>
    <w:rsid w:val="00B3173B"/>
    <w:rsid w:val="00B41AD6"/>
    <w:rsid w:val="00B42113"/>
    <w:rsid w:val="00B5296F"/>
    <w:rsid w:val="00B5531E"/>
    <w:rsid w:val="00B56CB9"/>
    <w:rsid w:val="00B61D85"/>
    <w:rsid w:val="00B724FC"/>
    <w:rsid w:val="00B75408"/>
    <w:rsid w:val="00B7699F"/>
    <w:rsid w:val="00B82ECD"/>
    <w:rsid w:val="00B83E43"/>
    <w:rsid w:val="00B84C34"/>
    <w:rsid w:val="00B84F94"/>
    <w:rsid w:val="00B90FDC"/>
    <w:rsid w:val="00BA43FC"/>
    <w:rsid w:val="00BB40AB"/>
    <w:rsid w:val="00BC216A"/>
    <w:rsid w:val="00BC4D0D"/>
    <w:rsid w:val="00BC5AD1"/>
    <w:rsid w:val="00BD0921"/>
    <w:rsid w:val="00BE1152"/>
    <w:rsid w:val="00BF2DAE"/>
    <w:rsid w:val="00BF6F3F"/>
    <w:rsid w:val="00C03E52"/>
    <w:rsid w:val="00C15C0A"/>
    <w:rsid w:val="00C201BB"/>
    <w:rsid w:val="00C250EB"/>
    <w:rsid w:val="00C33BBF"/>
    <w:rsid w:val="00C40869"/>
    <w:rsid w:val="00C410CC"/>
    <w:rsid w:val="00C539C7"/>
    <w:rsid w:val="00C56F61"/>
    <w:rsid w:val="00C651FF"/>
    <w:rsid w:val="00C749E1"/>
    <w:rsid w:val="00C74A55"/>
    <w:rsid w:val="00C7500C"/>
    <w:rsid w:val="00C825F8"/>
    <w:rsid w:val="00C82F54"/>
    <w:rsid w:val="00CA1721"/>
    <w:rsid w:val="00CA25D1"/>
    <w:rsid w:val="00CB0CA9"/>
    <w:rsid w:val="00CC477A"/>
    <w:rsid w:val="00CD3BD0"/>
    <w:rsid w:val="00CD451D"/>
    <w:rsid w:val="00CD4AF7"/>
    <w:rsid w:val="00CD75B2"/>
    <w:rsid w:val="00CE5956"/>
    <w:rsid w:val="00CE70F1"/>
    <w:rsid w:val="00CE7633"/>
    <w:rsid w:val="00CF2006"/>
    <w:rsid w:val="00CF402E"/>
    <w:rsid w:val="00CF6EAB"/>
    <w:rsid w:val="00D0178B"/>
    <w:rsid w:val="00D0246C"/>
    <w:rsid w:val="00D10C71"/>
    <w:rsid w:val="00D14A6F"/>
    <w:rsid w:val="00D2420C"/>
    <w:rsid w:val="00D33493"/>
    <w:rsid w:val="00D45397"/>
    <w:rsid w:val="00D45B75"/>
    <w:rsid w:val="00D52484"/>
    <w:rsid w:val="00D5343C"/>
    <w:rsid w:val="00D534B2"/>
    <w:rsid w:val="00D57623"/>
    <w:rsid w:val="00D5779B"/>
    <w:rsid w:val="00D6789E"/>
    <w:rsid w:val="00D74AD9"/>
    <w:rsid w:val="00D85D4D"/>
    <w:rsid w:val="00DB382E"/>
    <w:rsid w:val="00DB6988"/>
    <w:rsid w:val="00DC107B"/>
    <w:rsid w:val="00DC20A8"/>
    <w:rsid w:val="00DC2522"/>
    <w:rsid w:val="00DD7B1E"/>
    <w:rsid w:val="00DD7D31"/>
    <w:rsid w:val="00DE7101"/>
    <w:rsid w:val="00DF3B4E"/>
    <w:rsid w:val="00DF6982"/>
    <w:rsid w:val="00E0337A"/>
    <w:rsid w:val="00E03A36"/>
    <w:rsid w:val="00E04F51"/>
    <w:rsid w:val="00E15EAD"/>
    <w:rsid w:val="00E51B69"/>
    <w:rsid w:val="00E5521A"/>
    <w:rsid w:val="00E63633"/>
    <w:rsid w:val="00E66C76"/>
    <w:rsid w:val="00E77359"/>
    <w:rsid w:val="00E81E38"/>
    <w:rsid w:val="00E83226"/>
    <w:rsid w:val="00E854A1"/>
    <w:rsid w:val="00E90C51"/>
    <w:rsid w:val="00EA0557"/>
    <w:rsid w:val="00EA30DA"/>
    <w:rsid w:val="00EA4789"/>
    <w:rsid w:val="00EA4A87"/>
    <w:rsid w:val="00EB5E10"/>
    <w:rsid w:val="00EC1BFA"/>
    <w:rsid w:val="00EC2F70"/>
    <w:rsid w:val="00EC2FC3"/>
    <w:rsid w:val="00ED1772"/>
    <w:rsid w:val="00ED7BF6"/>
    <w:rsid w:val="00EF04DF"/>
    <w:rsid w:val="00EF7629"/>
    <w:rsid w:val="00F076E7"/>
    <w:rsid w:val="00F07A21"/>
    <w:rsid w:val="00F15399"/>
    <w:rsid w:val="00F21753"/>
    <w:rsid w:val="00F2331E"/>
    <w:rsid w:val="00F2472B"/>
    <w:rsid w:val="00F313FC"/>
    <w:rsid w:val="00F507DB"/>
    <w:rsid w:val="00F64B3E"/>
    <w:rsid w:val="00F72CBA"/>
    <w:rsid w:val="00F72D6B"/>
    <w:rsid w:val="00F73600"/>
    <w:rsid w:val="00F74288"/>
    <w:rsid w:val="00F751A9"/>
    <w:rsid w:val="00F82079"/>
    <w:rsid w:val="00F83E15"/>
    <w:rsid w:val="00F83FDD"/>
    <w:rsid w:val="00F91EC5"/>
    <w:rsid w:val="00FA7F25"/>
    <w:rsid w:val="00FB787B"/>
    <w:rsid w:val="00FC45BC"/>
    <w:rsid w:val="00FD23ED"/>
    <w:rsid w:val="00FE051B"/>
    <w:rsid w:val="00FE1196"/>
    <w:rsid w:val="00FF5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897"/>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8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897"/>
    <w:rPr>
      <w:rFonts w:ascii="Times New Roman" w:hAnsi="Times New Roman" w:cs="Times New Roman"/>
      <w:sz w:val="24"/>
      <w:szCs w:val="24"/>
    </w:rPr>
  </w:style>
  <w:style w:type="paragraph" w:styleId="Fuzeile">
    <w:name w:val="footer"/>
    <w:basedOn w:val="Standard"/>
    <w:link w:val="FuzeileZchn"/>
    <w:uiPriority w:val="99"/>
    <w:semiHidden/>
    <w:unhideWhenUsed/>
    <w:rsid w:val="007C589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C5897"/>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8511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11F5"/>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8511F5"/>
    <w:rPr>
      <w:vertAlign w:val="superscript"/>
    </w:rPr>
  </w:style>
  <w:style w:type="character" w:styleId="Hyperlink">
    <w:name w:val="Hyperlink"/>
    <w:basedOn w:val="Absatz-Standardschriftart"/>
    <w:uiPriority w:val="99"/>
    <w:semiHidden/>
    <w:unhideWhenUsed/>
    <w:rsid w:val="00640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5CE34-F199-41E5-A302-683BB8BE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5239</Words>
  <Characters>33009</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2012-03-13T09:38:00Z</cp:lastPrinted>
  <dcterms:created xsi:type="dcterms:W3CDTF">2012-06-12T06:11:00Z</dcterms:created>
  <dcterms:modified xsi:type="dcterms:W3CDTF">2012-06-12T06:12:00Z</dcterms:modified>
</cp:coreProperties>
</file>