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18" w:rsidRDefault="00F27575" w:rsidP="005F0DB1">
      <w:pPr>
        <w:spacing w:after="0"/>
        <w:rPr>
          <w:b/>
          <w:sz w:val="24"/>
          <w:szCs w:val="24"/>
        </w:rPr>
      </w:pPr>
      <w:r w:rsidRPr="005F0DB1">
        <w:rPr>
          <w:b/>
          <w:sz w:val="24"/>
          <w:szCs w:val="24"/>
        </w:rPr>
        <w:t xml:space="preserve">(9.1) </w:t>
      </w:r>
      <w:r w:rsidR="00976183">
        <w:rPr>
          <w:b/>
          <w:sz w:val="24"/>
          <w:szCs w:val="24"/>
        </w:rPr>
        <w:t>Texte</w:t>
      </w:r>
      <w:r w:rsidRPr="005F0DB1">
        <w:rPr>
          <w:b/>
          <w:sz w:val="24"/>
          <w:szCs w:val="24"/>
        </w:rPr>
        <w:t xml:space="preserve"> </w:t>
      </w:r>
      <w:r w:rsidR="00976183">
        <w:rPr>
          <w:b/>
          <w:sz w:val="24"/>
          <w:szCs w:val="24"/>
        </w:rPr>
        <w:t>4</w:t>
      </w:r>
      <w:r w:rsidRPr="005F0DB1">
        <w:rPr>
          <w:b/>
          <w:sz w:val="24"/>
          <w:szCs w:val="24"/>
        </w:rPr>
        <w:t xml:space="preserve">.1: </w:t>
      </w:r>
    </w:p>
    <w:p w:rsidR="00F27575" w:rsidRPr="005F0DB1" w:rsidRDefault="00F27575" w:rsidP="005F0DB1">
      <w:pPr>
        <w:spacing w:after="0"/>
        <w:rPr>
          <w:sz w:val="24"/>
          <w:szCs w:val="24"/>
          <w:u w:val="single"/>
        </w:rPr>
      </w:pPr>
      <w:r w:rsidRPr="005F0DB1">
        <w:rPr>
          <w:b/>
          <w:sz w:val="24"/>
          <w:szCs w:val="24"/>
        </w:rPr>
        <w:t xml:space="preserve">Das Menetekel – Valeriu </w:t>
      </w:r>
      <w:proofErr w:type="spellStart"/>
      <w:r w:rsidRPr="005F0DB1">
        <w:rPr>
          <w:b/>
          <w:sz w:val="24"/>
          <w:szCs w:val="24"/>
        </w:rPr>
        <w:t>Marcu</w:t>
      </w:r>
      <w:proofErr w:type="spellEnd"/>
      <w:r w:rsidRPr="005F0DB1">
        <w:rPr>
          <w:b/>
          <w:sz w:val="24"/>
          <w:szCs w:val="24"/>
        </w:rPr>
        <w:t xml:space="preserve">: </w:t>
      </w:r>
      <w:r w:rsidRPr="005F0DB1">
        <w:rPr>
          <w:b/>
          <w:i/>
          <w:sz w:val="24"/>
          <w:szCs w:val="24"/>
        </w:rPr>
        <w:t>Die Vertreibung der Juden aus Spanien</w:t>
      </w:r>
      <w:r w:rsidRPr="005F0DB1">
        <w:rPr>
          <w:sz w:val="24"/>
          <w:szCs w:val="24"/>
          <w:u w:val="single"/>
        </w:rPr>
        <w:t xml:space="preserve"> </w:t>
      </w:r>
    </w:p>
    <w:p w:rsidR="00F27575" w:rsidRPr="005F0DB1" w:rsidRDefault="00F27575" w:rsidP="005F0DB1">
      <w:pPr>
        <w:spacing w:after="0"/>
        <w:rPr>
          <w:b/>
          <w:sz w:val="24"/>
          <w:szCs w:val="24"/>
        </w:rPr>
      </w:pPr>
    </w:p>
    <w:p w:rsidR="00F3166A" w:rsidRDefault="005F0DB1" w:rsidP="005F0DB1">
      <w:pPr>
        <w:spacing w:after="0"/>
        <w:rPr>
          <w:sz w:val="24"/>
          <w:szCs w:val="24"/>
        </w:rPr>
      </w:pPr>
      <w:r w:rsidRPr="005F0DB1">
        <w:rPr>
          <w:sz w:val="24"/>
          <w:szCs w:val="24"/>
        </w:rPr>
        <w:t>Im</w:t>
      </w:r>
      <w:r>
        <w:rPr>
          <w:sz w:val="24"/>
          <w:szCs w:val="24"/>
        </w:rPr>
        <w:t xml:space="preserve"> Frühjahr 1934 </w:t>
      </w:r>
      <w:r w:rsidR="001B5C18">
        <w:rPr>
          <w:sz w:val="24"/>
          <w:szCs w:val="24"/>
        </w:rPr>
        <w:t>ersche</w:t>
      </w:r>
      <w:r w:rsidR="00E101F1">
        <w:rPr>
          <w:sz w:val="24"/>
          <w:szCs w:val="24"/>
        </w:rPr>
        <w:t>i</w:t>
      </w:r>
      <w:r w:rsidR="001B5C18">
        <w:rPr>
          <w:sz w:val="24"/>
          <w:szCs w:val="24"/>
        </w:rPr>
        <w:t>n</w:t>
      </w:r>
      <w:r w:rsidR="00E101F1">
        <w:rPr>
          <w:sz w:val="24"/>
          <w:szCs w:val="24"/>
        </w:rPr>
        <w:t>t</w:t>
      </w:r>
      <w:r w:rsidR="001B5C18">
        <w:rPr>
          <w:sz w:val="24"/>
          <w:szCs w:val="24"/>
        </w:rPr>
        <w:t xml:space="preserve"> im</w:t>
      </w:r>
      <w:r>
        <w:rPr>
          <w:sz w:val="24"/>
          <w:szCs w:val="24"/>
        </w:rPr>
        <w:t xml:space="preserve"> </w:t>
      </w:r>
      <w:r w:rsidR="001B5C18">
        <w:rPr>
          <w:sz w:val="24"/>
          <w:szCs w:val="24"/>
        </w:rPr>
        <w:t xml:space="preserve">Amsterdamer </w:t>
      </w:r>
      <w:proofErr w:type="spellStart"/>
      <w:r>
        <w:rPr>
          <w:sz w:val="24"/>
          <w:szCs w:val="24"/>
        </w:rPr>
        <w:t>Querido</w:t>
      </w:r>
      <w:proofErr w:type="spellEnd"/>
      <w:r>
        <w:rPr>
          <w:sz w:val="24"/>
          <w:szCs w:val="24"/>
        </w:rPr>
        <w:t xml:space="preserve"> Verlag </w:t>
      </w:r>
      <w:r w:rsidR="00132C9C">
        <w:rPr>
          <w:sz w:val="24"/>
          <w:szCs w:val="24"/>
        </w:rPr>
        <w:t xml:space="preserve">das Buch </w:t>
      </w:r>
      <w:r w:rsidR="003C0A11" w:rsidRPr="005F0DB1">
        <w:rPr>
          <w:i/>
          <w:sz w:val="24"/>
          <w:szCs w:val="24"/>
        </w:rPr>
        <w:t>Die Vertreibung der Juden aus Spanien</w:t>
      </w:r>
      <w:r w:rsidR="003C0A11">
        <w:rPr>
          <w:sz w:val="24"/>
          <w:szCs w:val="24"/>
        </w:rPr>
        <w:t>.</w:t>
      </w:r>
      <w:r w:rsidR="00AC6B96">
        <w:rPr>
          <w:rStyle w:val="Funotenzeichen"/>
          <w:sz w:val="24"/>
          <w:szCs w:val="24"/>
        </w:rPr>
        <w:footnoteReference w:id="1"/>
      </w:r>
      <w:r w:rsidR="001B5C18">
        <w:rPr>
          <w:sz w:val="24"/>
          <w:szCs w:val="24"/>
        </w:rPr>
        <w:t xml:space="preserve"> Autor </w:t>
      </w:r>
      <w:r w:rsidR="00E101F1">
        <w:rPr>
          <w:sz w:val="24"/>
          <w:szCs w:val="24"/>
        </w:rPr>
        <w:t>ist</w:t>
      </w:r>
      <w:r w:rsidR="001B5C18">
        <w:rPr>
          <w:sz w:val="24"/>
          <w:szCs w:val="24"/>
        </w:rPr>
        <w:t xml:space="preserve"> der aus Rumänien stammende Valeriu </w:t>
      </w:r>
      <w:proofErr w:type="spellStart"/>
      <w:r w:rsidR="001B5C18">
        <w:rPr>
          <w:sz w:val="24"/>
          <w:szCs w:val="24"/>
        </w:rPr>
        <w:t>Marcu</w:t>
      </w:r>
      <w:proofErr w:type="spellEnd"/>
      <w:r w:rsidR="00AC6B96">
        <w:rPr>
          <w:sz w:val="24"/>
          <w:szCs w:val="24"/>
        </w:rPr>
        <w:t>, ein ehemals prominenter Kommunist</w:t>
      </w:r>
      <w:r w:rsidR="00CA3886">
        <w:rPr>
          <w:sz w:val="24"/>
          <w:szCs w:val="24"/>
        </w:rPr>
        <w:t>.</w:t>
      </w:r>
      <w:r w:rsidR="00487D39">
        <w:rPr>
          <w:rStyle w:val="Funotenzeichen"/>
          <w:sz w:val="24"/>
          <w:szCs w:val="24"/>
        </w:rPr>
        <w:footnoteReference w:id="2"/>
      </w:r>
      <w:r w:rsidR="00132C9C">
        <w:rPr>
          <w:sz w:val="24"/>
          <w:szCs w:val="24"/>
        </w:rPr>
        <w:t xml:space="preserve"> </w:t>
      </w:r>
      <w:r w:rsidR="007951ED">
        <w:rPr>
          <w:sz w:val="24"/>
          <w:szCs w:val="24"/>
        </w:rPr>
        <w:t>F</w:t>
      </w:r>
      <w:r w:rsidR="00F3166A">
        <w:rPr>
          <w:sz w:val="24"/>
          <w:szCs w:val="24"/>
        </w:rPr>
        <w:t xml:space="preserve">ür die KPD und ihr Umfeld </w:t>
      </w:r>
      <w:r w:rsidR="007951ED">
        <w:rPr>
          <w:sz w:val="24"/>
          <w:szCs w:val="24"/>
        </w:rPr>
        <w:t xml:space="preserve">ist </w:t>
      </w:r>
      <w:proofErr w:type="spellStart"/>
      <w:r w:rsidR="00435243">
        <w:rPr>
          <w:sz w:val="24"/>
          <w:szCs w:val="24"/>
        </w:rPr>
        <w:t>Marcu</w:t>
      </w:r>
      <w:proofErr w:type="spellEnd"/>
      <w:r w:rsidR="007951ED">
        <w:rPr>
          <w:sz w:val="24"/>
          <w:szCs w:val="24"/>
        </w:rPr>
        <w:t xml:space="preserve"> ein Renegat</w:t>
      </w:r>
      <w:r w:rsidR="00035F62">
        <w:rPr>
          <w:sz w:val="24"/>
          <w:szCs w:val="24"/>
        </w:rPr>
        <w:t xml:space="preserve">; </w:t>
      </w:r>
      <w:r w:rsidR="00A57653">
        <w:rPr>
          <w:sz w:val="24"/>
          <w:szCs w:val="24"/>
        </w:rPr>
        <w:t>dass sein Buch</w:t>
      </w:r>
      <w:r w:rsidR="00E005B9">
        <w:rPr>
          <w:sz w:val="24"/>
          <w:szCs w:val="24"/>
        </w:rPr>
        <w:t xml:space="preserve"> </w:t>
      </w:r>
      <w:r w:rsidR="00132C9C">
        <w:rPr>
          <w:sz w:val="24"/>
          <w:szCs w:val="24"/>
        </w:rPr>
        <w:t xml:space="preserve">von </w:t>
      </w:r>
      <w:r w:rsidR="00487D39">
        <w:rPr>
          <w:sz w:val="24"/>
          <w:szCs w:val="24"/>
        </w:rPr>
        <w:t>diese</w:t>
      </w:r>
      <w:r w:rsidR="00132C9C">
        <w:rPr>
          <w:sz w:val="24"/>
          <w:szCs w:val="24"/>
        </w:rPr>
        <w:t>r Seite</w:t>
      </w:r>
      <w:r w:rsidR="00E005B9">
        <w:rPr>
          <w:sz w:val="24"/>
          <w:szCs w:val="24"/>
        </w:rPr>
        <w:t xml:space="preserve"> </w:t>
      </w:r>
      <w:r w:rsidR="00EE1DEF">
        <w:rPr>
          <w:sz w:val="24"/>
          <w:szCs w:val="24"/>
        </w:rPr>
        <w:t xml:space="preserve">auf Ablehnung </w:t>
      </w:r>
      <w:r w:rsidR="00E005B9">
        <w:rPr>
          <w:sz w:val="24"/>
          <w:szCs w:val="24"/>
        </w:rPr>
        <w:t>stößt,</w:t>
      </w:r>
      <w:r w:rsidR="00035F62">
        <w:rPr>
          <w:sz w:val="24"/>
          <w:szCs w:val="24"/>
        </w:rPr>
        <w:t xml:space="preserve"> überrascht daher nicht</w:t>
      </w:r>
      <w:r w:rsidR="001B5C18">
        <w:rPr>
          <w:sz w:val="24"/>
          <w:szCs w:val="24"/>
        </w:rPr>
        <w:t>.</w:t>
      </w:r>
      <w:r w:rsidR="00487D39">
        <w:rPr>
          <w:rStyle w:val="Funotenzeichen"/>
          <w:sz w:val="24"/>
          <w:szCs w:val="24"/>
        </w:rPr>
        <w:footnoteReference w:id="3"/>
      </w:r>
      <w:r w:rsidR="001B5C18">
        <w:rPr>
          <w:sz w:val="24"/>
          <w:szCs w:val="24"/>
        </w:rPr>
        <w:t xml:space="preserve"> </w:t>
      </w:r>
      <w:proofErr w:type="spellStart"/>
      <w:r w:rsidR="009C63D2">
        <w:rPr>
          <w:sz w:val="24"/>
          <w:szCs w:val="24"/>
        </w:rPr>
        <w:t>Marcu</w:t>
      </w:r>
      <w:proofErr w:type="spellEnd"/>
      <w:r w:rsidR="009C63D2">
        <w:rPr>
          <w:sz w:val="24"/>
          <w:szCs w:val="24"/>
        </w:rPr>
        <w:t xml:space="preserve"> ist mit Fritz </w:t>
      </w:r>
      <w:proofErr w:type="spellStart"/>
      <w:r w:rsidR="009C63D2">
        <w:rPr>
          <w:sz w:val="24"/>
          <w:szCs w:val="24"/>
        </w:rPr>
        <w:t>Landshoff</w:t>
      </w:r>
      <w:proofErr w:type="spellEnd"/>
      <w:r w:rsidR="009C63D2">
        <w:rPr>
          <w:sz w:val="24"/>
          <w:szCs w:val="24"/>
        </w:rPr>
        <w:t xml:space="preserve"> befreundet, dem Verl</w:t>
      </w:r>
      <w:r w:rsidR="00805342">
        <w:rPr>
          <w:sz w:val="24"/>
          <w:szCs w:val="24"/>
        </w:rPr>
        <w:t>e</w:t>
      </w:r>
      <w:r w:rsidR="009C63D2">
        <w:rPr>
          <w:sz w:val="24"/>
          <w:szCs w:val="24"/>
        </w:rPr>
        <w:t>ger. D</w:t>
      </w:r>
      <w:r w:rsidR="00600366">
        <w:rPr>
          <w:sz w:val="24"/>
          <w:szCs w:val="24"/>
        </w:rPr>
        <w:t xml:space="preserve">ie Veröffentlichung von </w:t>
      </w:r>
      <w:r w:rsidR="00435243" w:rsidRPr="005F0DB1">
        <w:rPr>
          <w:i/>
          <w:sz w:val="24"/>
          <w:szCs w:val="24"/>
        </w:rPr>
        <w:t>Die Vertreibung der Juden aus Spanien</w:t>
      </w:r>
      <w:r w:rsidR="00435243">
        <w:rPr>
          <w:sz w:val="24"/>
          <w:szCs w:val="24"/>
        </w:rPr>
        <w:t xml:space="preserve"> </w:t>
      </w:r>
      <w:r w:rsidR="009C63D2">
        <w:rPr>
          <w:sz w:val="24"/>
          <w:szCs w:val="24"/>
        </w:rPr>
        <w:t xml:space="preserve">im </w:t>
      </w:r>
      <w:proofErr w:type="spellStart"/>
      <w:r w:rsidR="009C63D2">
        <w:rPr>
          <w:sz w:val="24"/>
          <w:szCs w:val="24"/>
        </w:rPr>
        <w:t>Querido</w:t>
      </w:r>
      <w:proofErr w:type="spellEnd"/>
      <w:r w:rsidR="009C63D2">
        <w:rPr>
          <w:sz w:val="24"/>
          <w:szCs w:val="24"/>
        </w:rPr>
        <w:t xml:space="preserve"> Verlag</w:t>
      </w:r>
      <w:r w:rsidR="00600366">
        <w:rPr>
          <w:sz w:val="24"/>
          <w:szCs w:val="24"/>
        </w:rPr>
        <w:t xml:space="preserve"> </w:t>
      </w:r>
      <w:r w:rsidR="009C63D2">
        <w:rPr>
          <w:sz w:val="24"/>
          <w:szCs w:val="24"/>
        </w:rPr>
        <w:t xml:space="preserve">geht auf die Verbindung </w:t>
      </w:r>
      <w:r w:rsidR="00E005B9">
        <w:rPr>
          <w:sz w:val="24"/>
          <w:szCs w:val="24"/>
        </w:rPr>
        <w:t xml:space="preserve">Marcus zu </w:t>
      </w:r>
      <w:proofErr w:type="spellStart"/>
      <w:r w:rsidR="00E005B9">
        <w:rPr>
          <w:sz w:val="24"/>
          <w:szCs w:val="24"/>
        </w:rPr>
        <w:t>Landshoff</w:t>
      </w:r>
      <w:proofErr w:type="spellEnd"/>
      <w:r w:rsidR="00E005B9">
        <w:rPr>
          <w:sz w:val="24"/>
          <w:szCs w:val="24"/>
        </w:rPr>
        <w:t xml:space="preserve"> </w:t>
      </w:r>
      <w:r w:rsidR="009C63D2">
        <w:rPr>
          <w:sz w:val="24"/>
          <w:szCs w:val="24"/>
        </w:rPr>
        <w:t>zurück.</w:t>
      </w:r>
      <w:r w:rsidR="009C63D2">
        <w:rPr>
          <w:rStyle w:val="Funotenzeichen"/>
          <w:sz w:val="24"/>
          <w:szCs w:val="24"/>
        </w:rPr>
        <w:footnoteReference w:id="4"/>
      </w:r>
    </w:p>
    <w:p w:rsidR="00304F9D" w:rsidRDefault="00304F9D" w:rsidP="005F0DB1">
      <w:pPr>
        <w:spacing w:after="0"/>
        <w:rPr>
          <w:sz w:val="24"/>
          <w:szCs w:val="24"/>
        </w:rPr>
      </w:pPr>
    </w:p>
    <w:p w:rsidR="00E233E3" w:rsidRDefault="00F3166A" w:rsidP="005F0DB1">
      <w:pPr>
        <w:spacing w:after="0"/>
        <w:rPr>
          <w:sz w:val="24"/>
          <w:szCs w:val="24"/>
        </w:rPr>
      </w:pPr>
      <w:r>
        <w:rPr>
          <w:sz w:val="24"/>
          <w:szCs w:val="24"/>
        </w:rPr>
        <w:tab/>
      </w:r>
      <w:proofErr w:type="spellStart"/>
      <w:r>
        <w:rPr>
          <w:sz w:val="24"/>
          <w:szCs w:val="24"/>
        </w:rPr>
        <w:t>Marcu</w:t>
      </w:r>
      <w:proofErr w:type="spellEnd"/>
      <w:r w:rsidR="00404443">
        <w:rPr>
          <w:sz w:val="24"/>
          <w:szCs w:val="24"/>
        </w:rPr>
        <w:t xml:space="preserve"> stammt aus einer assimilierten</w:t>
      </w:r>
      <w:r w:rsidR="00B53A96">
        <w:rPr>
          <w:sz w:val="24"/>
          <w:szCs w:val="24"/>
        </w:rPr>
        <w:t>, großbürgerlichen</w:t>
      </w:r>
      <w:r w:rsidR="00404443">
        <w:rPr>
          <w:sz w:val="24"/>
          <w:szCs w:val="24"/>
        </w:rPr>
        <w:t xml:space="preserve"> </w:t>
      </w:r>
      <w:r w:rsidR="00936AE4">
        <w:rPr>
          <w:sz w:val="24"/>
          <w:szCs w:val="24"/>
        </w:rPr>
        <w:t xml:space="preserve">jüdischen </w:t>
      </w:r>
      <w:r w:rsidR="00F320DB">
        <w:rPr>
          <w:sz w:val="24"/>
          <w:szCs w:val="24"/>
        </w:rPr>
        <w:t xml:space="preserve">Bukarester </w:t>
      </w:r>
      <w:r w:rsidR="00404443">
        <w:rPr>
          <w:sz w:val="24"/>
          <w:szCs w:val="24"/>
        </w:rPr>
        <w:t xml:space="preserve">Familie. </w:t>
      </w:r>
      <w:r w:rsidR="00B53A96">
        <w:rPr>
          <w:sz w:val="24"/>
          <w:szCs w:val="24"/>
        </w:rPr>
        <w:t>S</w:t>
      </w:r>
      <w:r w:rsidR="007951ED">
        <w:rPr>
          <w:sz w:val="24"/>
          <w:szCs w:val="24"/>
        </w:rPr>
        <w:t>ein</w:t>
      </w:r>
      <w:r w:rsidR="00B53A96">
        <w:rPr>
          <w:sz w:val="24"/>
          <w:szCs w:val="24"/>
        </w:rPr>
        <w:t xml:space="preserve"> politischer Werdegang</w:t>
      </w:r>
      <w:r w:rsidR="007951ED">
        <w:rPr>
          <w:sz w:val="24"/>
          <w:szCs w:val="24"/>
        </w:rPr>
        <w:t xml:space="preserve"> </w:t>
      </w:r>
      <w:r w:rsidR="00B53A96">
        <w:rPr>
          <w:sz w:val="24"/>
          <w:szCs w:val="24"/>
        </w:rPr>
        <w:t xml:space="preserve">ist mit den Namen prominenter </w:t>
      </w:r>
      <w:r w:rsidR="007951ED">
        <w:rPr>
          <w:sz w:val="24"/>
          <w:szCs w:val="24"/>
        </w:rPr>
        <w:t>Persönlichkeit</w:t>
      </w:r>
      <w:r w:rsidR="00B53A96">
        <w:rPr>
          <w:sz w:val="24"/>
          <w:szCs w:val="24"/>
        </w:rPr>
        <w:t xml:space="preserve">en </w:t>
      </w:r>
      <w:r w:rsidR="0070094F">
        <w:rPr>
          <w:sz w:val="24"/>
          <w:szCs w:val="24"/>
        </w:rPr>
        <w:t xml:space="preserve">der </w:t>
      </w:r>
      <w:r w:rsidR="00791DA2">
        <w:rPr>
          <w:sz w:val="24"/>
          <w:szCs w:val="24"/>
        </w:rPr>
        <w:t>l</w:t>
      </w:r>
      <w:r w:rsidR="0070094F">
        <w:rPr>
          <w:sz w:val="24"/>
          <w:szCs w:val="24"/>
        </w:rPr>
        <w:t xml:space="preserve">inken </w:t>
      </w:r>
      <w:r w:rsidR="00791DA2">
        <w:rPr>
          <w:sz w:val="24"/>
          <w:szCs w:val="24"/>
        </w:rPr>
        <w:t xml:space="preserve">Sozialdemokratie </w:t>
      </w:r>
      <w:r w:rsidR="00B53A96">
        <w:rPr>
          <w:sz w:val="24"/>
          <w:szCs w:val="24"/>
        </w:rPr>
        <w:t>verknüpft</w:t>
      </w:r>
      <w:r w:rsidR="00274D28">
        <w:rPr>
          <w:sz w:val="24"/>
          <w:szCs w:val="24"/>
        </w:rPr>
        <w:t>,</w:t>
      </w:r>
      <w:r w:rsidR="00791DA2">
        <w:rPr>
          <w:sz w:val="24"/>
          <w:szCs w:val="24"/>
        </w:rPr>
        <w:t xml:space="preserve"> </w:t>
      </w:r>
      <w:r w:rsidR="00274D28">
        <w:rPr>
          <w:sz w:val="24"/>
          <w:szCs w:val="24"/>
        </w:rPr>
        <w:t xml:space="preserve">späteren </w:t>
      </w:r>
      <w:r w:rsidR="00805342">
        <w:rPr>
          <w:sz w:val="24"/>
          <w:szCs w:val="24"/>
        </w:rPr>
        <w:t>F</w:t>
      </w:r>
      <w:r w:rsidR="00274D28">
        <w:rPr>
          <w:sz w:val="24"/>
          <w:szCs w:val="24"/>
        </w:rPr>
        <w:t xml:space="preserve">ührern der sowjetischen, rumänischen und deutschen </w:t>
      </w:r>
      <w:r w:rsidR="00805342">
        <w:rPr>
          <w:sz w:val="24"/>
          <w:szCs w:val="24"/>
        </w:rPr>
        <w:t>kommunistischen Partei</w:t>
      </w:r>
      <w:r w:rsidR="00B53A96">
        <w:rPr>
          <w:sz w:val="24"/>
          <w:szCs w:val="24"/>
        </w:rPr>
        <w:t xml:space="preserve">. </w:t>
      </w:r>
      <w:r w:rsidR="00805342">
        <w:rPr>
          <w:sz w:val="24"/>
          <w:szCs w:val="24"/>
        </w:rPr>
        <w:t>I</w:t>
      </w:r>
      <w:r w:rsidR="00E005B9">
        <w:rPr>
          <w:sz w:val="24"/>
          <w:szCs w:val="24"/>
        </w:rPr>
        <w:t xml:space="preserve">m Alter von 14 Jahren, </w:t>
      </w:r>
      <w:r w:rsidR="00BB337B">
        <w:rPr>
          <w:sz w:val="24"/>
          <w:szCs w:val="24"/>
        </w:rPr>
        <w:t>1913</w:t>
      </w:r>
      <w:r>
        <w:rPr>
          <w:sz w:val="24"/>
          <w:szCs w:val="24"/>
        </w:rPr>
        <w:t>,</w:t>
      </w:r>
      <w:r w:rsidR="00BB337B">
        <w:rPr>
          <w:sz w:val="24"/>
          <w:szCs w:val="24"/>
        </w:rPr>
        <w:t xml:space="preserve"> </w:t>
      </w:r>
      <w:r w:rsidR="00F577FB">
        <w:rPr>
          <w:sz w:val="24"/>
          <w:szCs w:val="24"/>
        </w:rPr>
        <w:t>ma</w:t>
      </w:r>
      <w:r>
        <w:rPr>
          <w:sz w:val="24"/>
          <w:szCs w:val="24"/>
        </w:rPr>
        <w:t>ch</w:t>
      </w:r>
      <w:r w:rsidR="00BB337B">
        <w:rPr>
          <w:sz w:val="24"/>
          <w:szCs w:val="24"/>
        </w:rPr>
        <w:t xml:space="preserve">t </w:t>
      </w:r>
      <w:r w:rsidR="00600366">
        <w:rPr>
          <w:sz w:val="24"/>
          <w:szCs w:val="24"/>
        </w:rPr>
        <w:t>er</w:t>
      </w:r>
      <w:r w:rsidR="00936AE4">
        <w:rPr>
          <w:sz w:val="24"/>
          <w:szCs w:val="24"/>
        </w:rPr>
        <w:t xml:space="preserve"> </w:t>
      </w:r>
      <w:r w:rsidR="00805342">
        <w:rPr>
          <w:sz w:val="24"/>
          <w:szCs w:val="24"/>
        </w:rPr>
        <w:t xml:space="preserve">bereits </w:t>
      </w:r>
      <w:r>
        <w:rPr>
          <w:sz w:val="24"/>
          <w:szCs w:val="24"/>
        </w:rPr>
        <w:t xml:space="preserve">die Bekanntschaft von </w:t>
      </w:r>
      <w:r w:rsidR="00BB337B">
        <w:rPr>
          <w:sz w:val="24"/>
          <w:szCs w:val="24"/>
        </w:rPr>
        <w:t>Leo Trotzki, da</w:t>
      </w:r>
      <w:r>
        <w:rPr>
          <w:sz w:val="24"/>
          <w:szCs w:val="24"/>
        </w:rPr>
        <w:t>ma</w:t>
      </w:r>
      <w:r w:rsidR="00BB337B">
        <w:rPr>
          <w:sz w:val="24"/>
          <w:szCs w:val="24"/>
        </w:rPr>
        <w:t>ls Korrespondent einer Kiewer Zeitung</w:t>
      </w:r>
      <w:r w:rsidR="009370CA" w:rsidRPr="009370CA">
        <w:rPr>
          <w:sz w:val="24"/>
          <w:szCs w:val="24"/>
        </w:rPr>
        <w:t xml:space="preserve"> </w:t>
      </w:r>
      <w:r w:rsidR="009370CA">
        <w:rPr>
          <w:sz w:val="24"/>
          <w:szCs w:val="24"/>
        </w:rPr>
        <w:t>in Bukarest</w:t>
      </w:r>
      <w:r>
        <w:rPr>
          <w:sz w:val="24"/>
          <w:szCs w:val="24"/>
        </w:rPr>
        <w:t>.</w:t>
      </w:r>
      <w:r w:rsidR="00936AE4">
        <w:rPr>
          <w:sz w:val="24"/>
          <w:szCs w:val="24"/>
        </w:rPr>
        <w:t xml:space="preserve"> </w:t>
      </w:r>
      <w:r w:rsidR="0070094F">
        <w:rPr>
          <w:sz w:val="24"/>
          <w:szCs w:val="24"/>
        </w:rPr>
        <w:t xml:space="preserve">Der Vermittler ist </w:t>
      </w:r>
      <w:r w:rsidR="007A6485">
        <w:rPr>
          <w:sz w:val="24"/>
          <w:szCs w:val="24"/>
        </w:rPr>
        <w:t xml:space="preserve">Cristian </w:t>
      </w:r>
      <w:proofErr w:type="spellStart"/>
      <w:r w:rsidR="007A6485">
        <w:rPr>
          <w:sz w:val="24"/>
          <w:szCs w:val="24"/>
        </w:rPr>
        <w:t>Rakovski</w:t>
      </w:r>
      <w:proofErr w:type="spellEnd"/>
      <w:r w:rsidR="007A6485">
        <w:rPr>
          <w:sz w:val="24"/>
          <w:szCs w:val="24"/>
        </w:rPr>
        <w:t xml:space="preserve">, </w:t>
      </w:r>
      <w:r w:rsidR="00791DA2">
        <w:rPr>
          <w:sz w:val="24"/>
          <w:szCs w:val="24"/>
        </w:rPr>
        <w:t>Vorsitzende</w:t>
      </w:r>
      <w:r w:rsidR="007A6485">
        <w:rPr>
          <w:sz w:val="24"/>
          <w:szCs w:val="24"/>
        </w:rPr>
        <w:t xml:space="preserve"> der rumänischen Sozialdemokraten.</w:t>
      </w:r>
      <w:r w:rsidR="00F670F2" w:rsidRPr="00F670F2">
        <w:rPr>
          <w:sz w:val="24"/>
          <w:szCs w:val="24"/>
        </w:rPr>
        <w:t xml:space="preserve"> </w:t>
      </w:r>
      <w:proofErr w:type="spellStart"/>
      <w:r w:rsidR="00E233E3">
        <w:rPr>
          <w:sz w:val="24"/>
          <w:szCs w:val="24"/>
        </w:rPr>
        <w:t>Marcu</w:t>
      </w:r>
      <w:proofErr w:type="spellEnd"/>
      <w:r w:rsidR="00E233E3">
        <w:rPr>
          <w:sz w:val="24"/>
          <w:szCs w:val="24"/>
        </w:rPr>
        <w:t xml:space="preserve"> </w:t>
      </w:r>
      <w:r w:rsidR="00791DA2">
        <w:rPr>
          <w:sz w:val="24"/>
          <w:szCs w:val="24"/>
        </w:rPr>
        <w:t>steht</w:t>
      </w:r>
      <w:r w:rsidR="00E233E3">
        <w:rPr>
          <w:sz w:val="24"/>
          <w:szCs w:val="24"/>
        </w:rPr>
        <w:t xml:space="preserve"> </w:t>
      </w:r>
      <w:r w:rsidR="00791DA2">
        <w:rPr>
          <w:sz w:val="24"/>
          <w:szCs w:val="24"/>
        </w:rPr>
        <w:t xml:space="preserve">zu dieser Zeit auch </w:t>
      </w:r>
      <w:r w:rsidR="00E233E3">
        <w:rPr>
          <w:sz w:val="24"/>
          <w:szCs w:val="24"/>
        </w:rPr>
        <w:t xml:space="preserve">mit Gheorghe </w:t>
      </w:r>
      <w:proofErr w:type="spellStart"/>
      <w:r w:rsidR="00E233E3">
        <w:rPr>
          <w:sz w:val="24"/>
          <w:szCs w:val="24"/>
        </w:rPr>
        <w:t>Cristescu-Plapumaru</w:t>
      </w:r>
      <w:proofErr w:type="spellEnd"/>
      <w:r w:rsidR="00E233E3">
        <w:rPr>
          <w:sz w:val="24"/>
          <w:szCs w:val="24"/>
        </w:rPr>
        <w:t xml:space="preserve"> </w:t>
      </w:r>
      <w:r w:rsidR="00791DA2">
        <w:rPr>
          <w:sz w:val="24"/>
          <w:szCs w:val="24"/>
        </w:rPr>
        <w:t>in Verbindung</w:t>
      </w:r>
      <w:r w:rsidR="00E233E3">
        <w:rPr>
          <w:sz w:val="24"/>
          <w:szCs w:val="24"/>
        </w:rPr>
        <w:t>, dem späteren Generalsekretär der rumänischen KP.</w:t>
      </w:r>
    </w:p>
    <w:p w:rsidR="00600366" w:rsidRDefault="00E233E3" w:rsidP="005F0DB1">
      <w:pPr>
        <w:spacing w:after="0"/>
        <w:rPr>
          <w:sz w:val="24"/>
          <w:szCs w:val="24"/>
        </w:rPr>
      </w:pPr>
      <w:r>
        <w:rPr>
          <w:sz w:val="24"/>
          <w:szCs w:val="24"/>
        </w:rPr>
        <w:tab/>
      </w:r>
      <w:r w:rsidR="00636FCB">
        <w:rPr>
          <w:sz w:val="24"/>
          <w:szCs w:val="24"/>
        </w:rPr>
        <w:t xml:space="preserve">Nach Abschluss der Grundschule wird </w:t>
      </w:r>
      <w:proofErr w:type="spellStart"/>
      <w:r>
        <w:rPr>
          <w:sz w:val="24"/>
          <w:szCs w:val="24"/>
        </w:rPr>
        <w:t>Marcu</w:t>
      </w:r>
      <w:proofErr w:type="spellEnd"/>
      <w:r>
        <w:rPr>
          <w:sz w:val="24"/>
          <w:szCs w:val="24"/>
        </w:rPr>
        <w:t xml:space="preserve"> </w:t>
      </w:r>
      <w:r w:rsidR="00636FCB">
        <w:rPr>
          <w:sz w:val="24"/>
          <w:szCs w:val="24"/>
        </w:rPr>
        <w:t>auf</w:t>
      </w:r>
      <w:r w:rsidR="00A31DD6">
        <w:rPr>
          <w:sz w:val="24"/>
          <w:szCs w:val="24"/>
        </w:rPr>
        <w:t xml:space="preserve"> ein Internat</w:t>
      </w:r>
      <w:r w:rsidR="00636FCB">
        <w:rPr>
          <w:sz w:val="24"/>
          <w:szCs w:val="24"/>
        </w:rPr>
        <w:t xml:space="preserve"> </w:t>
      </w:r>
      <w:r w:rsidR="006978C9">
        <w:rPr>
          <w:sz w:val="24"/>
          <w:szCs w:val="24"/>
        </w:rPr>
        <w:t xml:space="preserve">in Wien </w:t>
      </w:r>
      <w:r w:rsidR="00636FCB">
        <w:rPr>
          <w:sz w:val="24"/>
          <w:szCs w:val="24"/>
        </w:rPr>
        <w:t>geschickt</w:t>
      </w:r>
      <w:r w:rsidR="00A31DD6">
        <w:rPr>
          <w:sz w:val="24"/>
          <w:szCs w:val="24"/>
        </w:rPr>
        <w:t xml:space="preserve">. </w:t>
      </w:r>
      <w:r w:rsidR="00636FCB">
        <w:rPr>
          <w:sz w:val="24"/>
          <w:szCs w:val="24"/>
        </w:rPr>
        <w:t>Auch i</w:t>
      </w:r>
      <w:r w:rsidR="00274D28">
        <w:rPr>
          <w:sz w:val="24"/>
          <w:szCs w:val="24"/>
        </w:rPr>
        <w:t xml:space="preserve">n Wien verkehrt </w:t>
      </w:r>
      <w:proofErr w:type="spellStart"/>
      <w:r w:rsidR="00636FCB">
        <w:rPr>
          <w:sz w:val="24"/>
          <w:szCs w:val="24"/>
        </w:rPr>
        <w:t>Marcu</w:t>
      </w:r>
      <w:proofErr w:type="spellEnd"/>
      <w:r w:rsidR="00274D28">
        <w:rPr>
          <w:sz w:val="24"/>
          <w:szCs w:val="24"/>
        </w:rPr>
        <w:t xml:space="preserve"> </w:t>
      </w:r>
      <w:r w:rsidR="00791DA2">
        <w:rPr>
          <w:sz w:val="24"/>
          <w:szCs w:val="24"/>
        </w:rPr>
        <w:t>i</w:t>
      </w:r>
      <w:r w:rsidR="00636FCB">
        <w:rPr>
          <w:sz w:val="24"/>
          <w:szCs w:val="24"/>
        </w:rPr>
        <w:t xml:space="preserve">m </w:t>
      </w:r>
      <w:r w:rsidR="00791DA2">
        <w:rPr>
          <w:sz w:val="24"/>
          <w:szCs w:val="24"/>
        </w:rPr>
        <w:t>Kreis</w:t>
      </w:r>
      <w:r w:rsidR="00636FCB">
        <w:rPr>
          <w:sz w:val="24"/>
          <w:szCs w:val="24"/>
        </w:rPr>
        <w:t xml:space="preserve"> </w:t>
      </w:r>
      <w:r w:rsidR="00791DA2">
        <w:rPr>
          <w:sz w:val="24"/>
          <w:szCs w:val="24"/>
        </w:rPr>
        <w:t xml:space="preserve">der </w:t>
      </w:r>
      <w:r w:rsidR="00274D28">
        <w:rPr>
          <w:sz w:val="24"/>
          <w:szCs w:val="24"/>
        </w:rPr>
        <w:t xml:space="preserve">politischen </w:t>
      </w:r>
      <w:r w:rsidR="00791DA2">
        <w:rPr>
          <w:sz w:val="24"/>
          <w:szCs w:val="24"/>
        </w:rPr>
        <w:t>Link</w:t>
      </w:r>
      <w:r>
        <w:rPr>
          <w:sz w:val="24"/>
          <w:szCs w:val="24"/>
        </w:rPr>
        <w:t>en</w:t>
      </w:r>
      <w:r w:rsidR="00600366">
        <w:rPr>
          <w:sz w:val="24"/>
          <w:szCs w:val="24"/>
        </w:rPr>
        <w:t>;</w:t>
      </w:r>
      <w:r w:rsidR="00A31DD6">
        <w:rPr>
          <w:sz w:val="24"/>
          <w:szCs w:val="24"/>
        </w:rPr>
        <w:t xml:space="preserve"> </w:t>
      </w:r>
      <w:r w:rsidR="00600366">
        <w:rPr>
          <w:sz w:val="24"/>
          <w:szCs w:val="24"/>
        </w:rPr>
        <w:t>e</w:t>
      </w:r>
      <w:r w:rsidR="00791DA2">
        <w:rPr>
          <w:sz w:val="24"/>
          <w:szCs w:val="24"/>
        </w:rPr>
        <w:t xml:space="preserve">r ist Aktivist der </w:t>
      </w:r>
      <w:r w:rsidR="006978C9">
        <w:rPr>
          <w:sz w:val="24"/>
          <w:szCs w:val="24"/>
        </w:rPr>
        <w:t xml:space="preserve">linkssozialistischen </w:t>
      </w:r>
      <w:r w:rsidR="00791DA2">
        <w:rPr>
          <w:sz w:val="24"/>
          <w:szCs w:val="24"/>
        </w:rPr>
        <w:t xml:space="preserve">Antikriegsbewegung. </w:t>
      </w:r>
      <w:r w:rsidR="006978C9">
        <w:rPr>
          <w:sz w:val="24"/>
          <w:szCs w:val="24"/>
        </w:rPr>
        <w:t>1915 wird er a</w:t>
      </w:r>
      <w:r w:rsidR="00636FCB">
        <w:rPr>
          <w:sz w:val="24"/>
          <w:szCs w:val="24"/>
        </w:rPr>
        <w:t>ufgrund de</w:t>
      </w:r>
      <w:r w:rsidR="006978C9">
        <w:rPr>
          <w:sz w:val="24"/>
          <w:szCs w:val="24"/>
        </w:rPr>
        <w:t>r Beschuldigung zwangsrepatriiert</w:t>
      </w:r>
      <w:r w:rsidR="00636FCB">
        <w:rPr>
          <w:sz w:val="24"/>
          <w:szCs w:val="24"/>
        </w:rPr>
        <w:t xml:space="preserve">, </w:t>
      </w:r>
      <w:r w:rsidR="006978C9">
        <w:rPr>
          <w:sz w:val="24"/>
          <w:szCs w:val="24"/>
        </w:rPr>
        <w:t>durch</w:t>
      </w:r>
      <w:r w:rsidR="00636FCB">
        <w:rPr>
          <w:sz w:val="24"/>
          <w:szCs w:val="24"/>
        </w:rPr>
        <w:t xml:space="preserve"> </w:t>
      </w:r>
      <w:r w:rsidR="006978C9">
        <w:rPr>
          <w:sz w:val="24"/>
          <w:szCs w:val="24"/>
        </w:rPr>
        <w:t xml:space="preserve">Verbreitung </w:t>
      </w:r>
      <w:r w:rsidR="00636FCB">
        <w:rPr>
          <w:sz w:val="24"/>
          <w:szCs w:val="24"/>
        </w:rPr>
        <w:t xml:space="preserve">der Losung „Vive la France!“ </w:t>
      </w:r>
      <w:r w:rsidR="006978C9">
        <w:rPr>
          <w:sz w:val="24"/>
          <w:szCs w:val="24"/>
        </w:rPr>
        <w:t>Propaganda für den Kriegsgegner gemacht zu haben</w:t>
      </w:r>
      <w:r>
        <w:rPr>
          <w:sz w:val="24"/>
          <w:szCs w:val="24"/>
        </w:rPr>
        <w:t xml:space="preserve">. </w:t>
      </w:r>
      <w:r w:rsidR="00274D28">
        <w:rPr>
          <w:sz w:val="24"/>
          <w:szCs w:val="24"/>
        </w:rPr>
        <w:t>Da</w:t>
      </w:r>
      <w:r w:rsidR="00636FCB">
        <w:rPr>
          <w:sz w:val="24"/>
          <w:szCs w:val="24"/>
        </w:rPr>
        <w:t xml:space="preserve"> </w:t>
      </w:r>
      <w:proofErr w:type="spellStart"/>
      <w:r w:rsidR="00600366">
        <w:rPr>
          <w:sz w:val="24"/>
          <w:szCs w:val="24"/>
        </w:rPr>
        <w:t>Marcu</w:t>
      </w:r>
      <w:proofErr w:type="spellEnd"/>
      <w:r w:rsidR="00600366">
        <w:rPr>
          <w:sz w:val="24"/>
          <w:szCs w:val="24"/>
        </w:rPr>
        <w:t xml:space="preserve"> durch </w:t>
      </w:r>
      <w:r w:rsidR="00791DA2">
        <w:rPr>
          <w:sz w:val="24"/>
          <w:szCs w:val="24"/>
        </w:rPr>
        <w:t>seine</w:t>
      </w:r>
      <w:r w:rsidR="00274D28">
        <w:rPr>
          <w:sz w:val="24"/>
          <w:szCs w:val="24"/>
        </w:rPr>
        <w:t xml:space="preserve"> Aktivitäten </w:t>
      </w:r>
      <w:r w:rsidR="00B118C3">
        <w:rPr>
          <w:sz w:val="24"/>
          <w:szCs w:val="24"/>
        </w:rPr>
        <w:t xml:space="preserve">auch in Bukarest </w:t>
      </w:r>
      <w:r w:rsidR="00274D28">
        <w:rPr>
          <w:sz w:val="24"/>
          <w:szCs w:val="24"/>
        </w:rPr>
        <w:t>immer stärkere Aufmerksamkeit auf sich zieh</w:t>
      </w:r>
      <w:r w:rsidR="00600366">
        <w:rPr>
          <w:sz w:val="24"/>
          <w:szCs w:val="24"/>
        </w:rPr>
        <w:t>t</w:t>
      </w:r>
      <w:r w:rsidR="00274D28">
        <w:rPr>
          <w:sz w:val="24"/>
          <w:szCs w:val="24"/>
        </w:rPr>
        <w:t xml:space="preserve">, </w:t>
      </w:r>
      <w:r w:rsidR="00E442E1">
        <w:rPr>
          <w:sz w:val="24"/>
          <w:szCs w:val="24"/>
        </w:rPr>
        <w:t xml:space="preserve">schickt ihn </w:t>
      </w:r>
      <w:r w:rsidR="00CB50CC">
        <w:rPr>
          <w:sz w:val="24"/>
          <w:szCs w:val="24"/>
        </w:rPr>
        <w:t>seine Familie nach</w:t>
      </w:r>
      <w:r w:rsidR="00BB337B">
        <w:rPr>
          <w:sz w:val="24"/>
          <w:szCs w:val="24"/>
        </w:rPr>
        <w:t xml:space="preserve"> Zürich</w:t>
      </w:r>
      <w:r w:rsidR="00F229BB">
        <w:rPr>
          <w:sz w:val="24"/>
          <w:szCs w:val="24"/>
        </w:rPr>
        <w:t xml:space="preserve">. </w:t>
      </w:r>
      <w:r w:rsidR="00B53A96">
        <w:rPr>
          <w:sz w:val="24"/>
          <w:szCs w:val="24"/>
        </w:rPr>
        <w:t>Hi</w:t>
      </w:r>
      <w:r w:rsidR="00F229BB">
        <w:rPr>
          <w:sz w:val="24"/>
          <w:szCs w:val="24"/>
        </w:rPr>
        <w:t>er, in der neutralen Schweiz</w:t>
      </w:r>
      <w:r w:rsidR="00CB50CC">
        <w:rPr>
          <w:sz w:val="24"/>
          <w:szCs w:val="24"/>
        </w:rPr>
        <w:t xml:space="preserve">, </w:t>
      </w:r>
      <w:r w:rsidR="00F229BB">
        <w:rPr>
          <w:sz w:val="24"/>
          <w:szCs w:val="24"/>
        </w:rPr>
        <w:t xml:space="preserve">soll </w:t>
      </w:r>
      <w:r w:rsidR="00F670F2">
        <w:rPr>
          <w:sz w:val="24"/>
          <w:szCs w:val="24"/>
        </w:rPr>
        <w:t>er</w:t>
      </w:r>
      <w:r w:rsidR="00F229BB">
        <w:rPr>
          <w:sz w:val="24"/>
          <w:szCs w:val="24"/>
        </w:rPr>
        <w:t xml:space="preserve"> </w:t>
      </w:r>
      <w:r w:rsidR="007422D6">
        <w:rPr>
          <w:sz w:val="24"/>
          <w:szCs w:val="24"/>
        </w:rPr>
        <w:t>das</w:t>
      </w:r>
      <w:r w:rsidR="00CA3886">
        <w:rPr>
          <w:sz w:val="24"/>
          <w:szCs w:val="24"/>
        </w:rPr>
        <w:t xml:space="preserve"> Abitur ableg</w:t>
      </w:r>
      <w:r w:rsidR="00304F9D">
        <w:rPr>
          <w:sz w:val="24"/>
          <w:szCs w:val="24"/>
        </w:rPr>
        <w:t>en</w:t>
      </w:r>
      <w:r w:rsidR="009B1BB9">
        <w:rPr>
          <w:sz w:val="24"/>
          <w:szCs w:val="24"/>
        </w:rPr>
        <w:t>.</w:t>
      </w:r>
      <w:r w:rsidR="00BB337B">
        <w:rPr>
          <w:sz w:val="24"/>
          <w:szCs w:val="24"/>
        </w:rPr>
        <w:t xml:space="preserve"> </w:t>
      </w:r>
      <w:r w:rsidR="00F229BB">
        <w:rPr>
          <w:sz w:val="24"/>
          <w:szCs w:val="24"/>
        </w:rPr>
        <w:t>In Zürich steht nicht der Schul</w:t>
      </w:r>
      <w:r w:rsidR="00600366">
        <w:rPr>
          <w:sz w:val="24"/>
          <w:szCs w:val="24"/>
        </w:rPr>
        <w:t>e</w:t>
      </w:r>
      <w:r w:rsidR="00F229BB">
        <w:rPr>
          <w:sz w:val="24"/>
          <w:szCs w:val="24"/>
        </w:rPr>
        <w:t xml:space="preserve">, sondern </w:t>
      </w:r>
      <w:r w:rsidR="00977199">
        <w:rPr>
          <w:sz w:val="24"/>
          <w:szCs w:val="24"/>
        </w:rPr>
        <w:t xml:space="preserve">wiederum </w:t>
      </w:r>
      <w:r w:rsidR="00F229BB">
        <w:rPr>
          <w:sz w:val="24"/>
          <w:szCs w:val="24"/>
        </w:rPr>
        <w:t xml:space="preserve">die Politik im Zentrum. </w:t>
      </w:r>
      <w:proofErr w:type="spellStart"/>
      <w:r w:rsidR="00F229BB">
        <w:rPr>
          <w:sz w:val="24"/>
          <w:szCs w:val="24"/>
        </w:rPr>
        <w:t>Marcu</w:t>
      </w:r>
      <w:proofErr w:type="spellEnd"/>
      <w:r w:rsidR="009B1BB9">
        <w:rPr>
          <w:sz w:val="24"/>
          <w:szCs w:val="24"/>
        </w:rPr>
        <w:t xml:space="preserve"> </w:t>
      </w:r>
      <w:r w:rsidR="00F577FB">
        <w:rPr>
          <w:sz w:val="24"/>
          <w:szCs w:val="24"/>
        </w:rPr>
        <w:t>komm</w:t>
      </w:r>
      <w:r w:rsidR="009B1BB9">
        <w:rPr>
          <w:sz w:val="24"/>
          <w:szCs w:val="24"/>
        </w:rPr>
        <w:t>t</w:t>
      </w:r>
      <w:r w:rsidR="007C74FB">
        <w:rPr>
          <w:sz w:val="24"/>
          <w:szCs w:val="24"/>
        </w:rPr>
        <w:t xml:space="preserve"> </w:t>
      </w:r>
      <w:r w:rsidR="009B1BB9">
        <w:rPr>
          <w:sz w:val="24"/>
          <w:szCs w:val="24"/>
        </w:rPr>
        <w:t xml:space="preserve">in </w:t>
      </w:r>
      <w:r w:rsidR="007422D6">
        <w:rPr>
          <w:sz w:val="24"/>
          <w:szCs w:val="24"/>
        </w:rPr>
        <w:t>Verbindung mit</w:t>
      </w:r>
      <w:r w:rsidR="009B1BB9">
        <w:rPr>
          <w:sz w:val="24"/>
          <w:szCs w:val="24"/>
        </w:rPr>
        <w:t xml:space="preserve"> den </w:t>
      </w:r>
      <w:r w:rsidR="00F229BB">
        <w:rPr>
          <w:sz w:val="24"/>
          <w:szCs w:val="24"/>
        </w:rPr>
        <w:t xml:space="preserve">nach Zürich </w:t>
      </w:r>
      <w:r w:rsidR="00636FCB">
        <w:rPr>
          <w:sz w:val="24"/>
          <w:szCs w:val="24"/>
        </w:rPr>
        <w:t>ausgewichen</w:t>
      </w:r>
      <w:r w:rsidR="00F229BB">
        <w:rPr>
          <w:sz w:val="24"/>
          <w:szCs w:val="24"/>
        </w:rPr>
        <w:t xml:space="preserve">en Vertretern </w:t>
      </w:r>
      <w:r w:rsidR="007C74FB">
        <w:rPr>
          <w:sz w:val="24"/>
          <w:szCs w:val="24"/>
        </w:rPr>
        <w:t xml:space="preserve">der </w:t>
      </w:r>
      <w:r w:rsidR="00636FCB">
        <w:rPr>
          <w:sz w:val="24"/>
          <w:szCs w:val="24"/>
        </w:rPr>
        <w:t>„</w:t>
      </w:r>
      <w:r w:rsidR="00BB337B">
        <w:rPr>
          <w:sz w:val="24"/>
          <w:szCs w:val="24"/>
        </w:rPr>
        <w:t>Zimmerwalder Linken</w:t>
      </w:r>
      <w:r w:rsidR="00636FCB">
        <w:rPr>
          <w:sz w:val="24"/>
          <w:szCs w:val="24"/>
        </w:rPr>
        <w:t>“</w:t>
      </w:r>
      <w:r w:rsidR="00B53A96">
        <w:rPr>
          <w:sz w:val="24"/>
          <w:szCs w:val="24"/>
        </w:rPr>
        <w:t>.</w:t>
      </w:r>
      <w:r w:rsidR="00F577FB">
        <w:rPr>
          <w:rStyle w:val="Funotenzeichen"/>
          <w:sz w:val="24"/>
          <w:szCs w:val="24"/>
        </w:rPr>
        <w:footnoteReference w:id="5"/>
      </w:r>
      <w:r w:rsidR="009B1BB9">
        <w:rPr>
          <w:sz w:val="24"/>
          <w:szCs w:val="24"/>
        </w:rPr>
        <w:t xml:space="preserve"> </w:t>
      </w:r>
      <w:r w:rsidR="007422D6">
        <w:rPr>
          <w:sz w:val="24"/>
          <w:szCs w:val="24"/>
        </w:rPr>
        <w:t>Er</w:t>
      </w:r>
      <w:r w:rsidR="00B53A96">
        <w:rPr>
          <w:sz w:val="24"/>
          <w:szCs w:val="24"/>
        </w:rPr>
        <w:t xml:space="preserve"> lernt Lenin kennen</w:t>
      </w:r>
      <w:r w:rsidR="007422D6">
        <w:rPr>
          <w:sz w:val="24"/>
          <w:szCs w:val="24"/>
        </w:rPr>
        <w:t xml:space="preserve"> und</w:t>
      </w:r>
      <w:r w:rsidR="00B53A96">
        <w:rPr>
          <w:sz w:val="24"/>
          <w:szCs w:val="24"/>
        </w:rPr>
        <w:t xml:space="preserve"> hat Kontakt zu </w:t>
      </w:r>
      <w:proofErr w:type="spellStart"/>
      <w:r w:rsidR="00B53A96">
        <w:rPr>
          <w:sz w:val="24"/>
          <w:szCs w:val="24"/>
        </w:rPr>
        <w:t>Martow</w:t>
      </w:r>
      <w:proofErr w:type="spellEnd"/>
      <w:r w:rsidR="00B53A96">
        <w:rPr>
          <w:sz w:val="24"/>
          <w:szCs w:val="24"/>
        </w:rPr>
        <w:t xml:space="preserve">, </w:t>
      </w:r>
      <w:proofErr w:type="spellStart"/>
      <w:r w:rsidR="00B53A96">
        <w:rPr>
          <w:sz w:val="24"/>
          <w:szCs w:val="24"/>
        </w:rPr>
        <w:t>Sinowjew</w:t>
      </w:r>
      <w:proofErr w:type="spellEnd"/>
      <w:r w:rsidR="00B53A96">
        <w:rPr>
          <w:sz w:val="24"/>
          <w:szCs w:val="24"/>
        </w:rPr>
        <w:t>, Radek und Paul Levi</w:t>
      </w:r>
      <w:r w:rsidR="007422D6">
        <w:rPr>
          <w:sz w:val="24"/>
          <w:szCs w:val="24"/>
        </w:rPr>
        <w:t xml:space="preserve">, </w:t>
      </w:r>
      <w:r w:rsidR="00600366">
        <w:rPr>
          <w:sz w:val="24"/>
          <w:szCs w:val="24"/>
        </w:rPr>
        <w:t xml:space="preserve">also zu den </w:t>
      </w:r>
      <w:r w:rsidR="007422D6">
        <w:rPr>
          <w:sz w:val="24"/>
          <w:szCs w:val="24"/>
        </w:rPr>
        <w:t xml:space="preserve">Führungsgestalten der </w:t>
      </w:r>
      <w:r w:rsidR="00636FCB">
        <w:rPr>
          <w:sz w:val="24"/>
          <w:szCs w:val="24"/>
        </w:rPr>
        <w:t xml:space="preserve">späteren </w:t>
      </w:r>
      <w:r w:rsidR="007422D6">
        <w:rPr>
          <w:sz w:val="24"/>
          <w:szCs w:val="24"/>
        </w:rPr>
        <w:t>K</w:t>
      </w:r>
      <w:r w:rsidR="00AC6B96">
        <w:rPr>
          <w:sz w:val="24"/>
          <w:szCs w:val="24"/>
        </w:rPr>
        <w:t>omintern</w:t>
      </w:r>
      <w:r w:rsidR="00B53A96">
        <w:rPr>
          <w:sz w:val="24"/>
          <w:szCs w:val="24"/>
        </w:rPr>
        <w:t xml:space="preserve">. Aus dieser Zeit datiert </w:t>
      </w:r>
      <w:r w:rsidR="00600366">
        <w:rPr>
          <w:sz w:val="24"/>
          <w:szCs w:val="24"/>
        </w:rPr>
        <w:t xml:space="preserve">auch </w:t>
      </w:r>
      <w:r w:rsidR="00B53A96">
        <w:rPr>
          <w:sz w:val="24"/>
          <w:szCs w:val="24"/>
        </w:rPr>
        <w:t>die Freundschaft</w:t>
      </w:r>
      <w:r w:rsidR="00F229BB">
        <w:rPr>
          <w:sz w:val="24"/>
          <w:szCs w:val="24"/>
        </w:rPr>
        <w:t xml:space="preserve"> </w:t>
      </w:r>
      <w:r w:rsidR="009B1BB9">
        <w:rPr>
          <w:sz w:val="24"/>
          <w:szCs w:val="24"/>
        </w:rPr>
        <w:t>mit Willi Münzenberg, d</w:t>
      </w:r>
      <w:r w:rsidR="00B53A96">
        <w:rPr>
          <w:sz w:val="24"/>
          <w:szCs w:val="24"/>
        </w:rPr>
        <w:t>amals</w:t>
      </w:r>
      <w:r w:rsidR="009B1BB9">
        <w:rPr>
          <w:sz w:val="24"/>
          <w:szCs w:val="24"/>
        </w:rPr>
        <w:t xml:space="preserve"> Sekretär der Jugend-Internationale.</w:t>
      </w:r>
      <w:r w:rsidR="009B1BB9">
        <w:rPr>
          <w:rStyle w:val="Funotenzeichen"/>
          <w:sz w:val="24"/>
          <w:szCs w:val="24"/>
        </w:rPr>
        <w:footnoteReference w:id="6"/>
      </w:r>
      <w:r w:rsidR="009B1BB9">
        <w:rPr>
          <w:sz w:val="24"/>
          <w:szCs w:val="24"/>
        </w:rPr>
        <w:t xml:space="preserve"> </w:t>
      </w:r>
    </w:p>
    <w:p w:rsidR="00B118C3" w:rsidRDefault="00600366" w:rsidP="005F0DB1">
      <w:pPr>
        <w:spacing w:after="0"/>
        <w:rPr>
          <w:sz w:val="24"/>
          <w:szCs w:val="24"/>
        </w:rPr>
      </w:pPr>
      <w:r>
        <w:rPr>
          <w:sz w:val="24"/>
          <w:szCs w:val="24"/>
        </w:rPr>
        <w:lastRenderedPageBreak/>
        <w:tab/>
      </w:r>
      <w:r w:rsidR="00636FCB">
        <w:rPr>
          <w:sz w:val="24"/>
          <w:szCs w:val="24"/>
        </w:rPr>
        <w:t>I</w:t>
      </w:r>
      <w:r w:rsidR="00FA588B">
        <w:rPr>
          <w:sz w:val="24"/>
          <w:szCs w:val="24"/>
        </w:rPr>
        <w:t>m August 1916</w:t>
      </w:r>
      <w:r w:rsidR="00B54345">
        <w:rPr>
          <w:sz w:val="24"/>
          <w:szCs w:val="24"/>
        </w:rPr>
        <w:t xml:space="preserve"> </w:t>
      </w:r>
      <w:r w:rsidR="00FA588B">
        <w:rPr>
          <w:sz w:val="24"/>
          <w:szCs w:val="24"/>
        </w:rPr>
        <w:t xml:space="preserve">reist </w:t>
      </w:r>
      <w:proofErr w:type="spellStart"/>
      <w:r w:rsidR="00B53A96">
        <w:rPr>
          <w:sz w:val="24"/>
          <w:szCs w:val="24"/>
        </w:rPr>
        <w:t>Marcu</w:t>
      </w:r>
      <w:proofErr w:type="spellEnd"/>
      <w:r w:rsidR="00FA588B">
        <w:rPr>
          <w:sz w:val="24"/>
          <w:szCs w:val="24"/>
        </w:rPr>
        <w:t xml:space="preserve"> </w:t>
      </w:r>
      <w:r w:rsidR="00CB50CC">
        <w:rPr>
          <w:sz w:val="24"/>
          <w:szCs w:val="24"/>
        </w:rPr>
        <w:t xml:space="preserve">im Auftrag von Lenin </w:t>
      </w:r>
      <w:r w:rsidR="00107622">
        <w:rPr>
          <w:sz w:val="24"/>
          <w:szCs w:val="24"/>
        </w:rPr>
        <w:t xml:space="preserve">zuerst </w:t>
      </w:r>
      <w:r w:rsidR="00B54345">
        <w:rPr>
          <w:sz w:val="24"/>
          <w:szCs w:val="24"/>
        </w:rPr>
        <w:t xml:space="preserve">nach Paris </w:t>
      </w:r>
      <w:r w:rsidR="00B53A96">
        <w:rPr>
          <w:sz w:val="24"/>
          <w:szCs w:val="24"/>
        </w:rPr>
        <w:t xml:space="preserve">zu Trotzki </w:t>
      </w:r>
      <w:r w:rsidR="00FA588B">
        <w:rPr>
          <w:sz w:val="24"/>
          <w:szCs w:val="24"/>
        </w:rPr>
        <w:t xml:space="preserve">und </w:t>
      </w:r>
      <w:r w:rsidR="00107622">
        <w:rPr>
          <w:sz w:val="24"/>
          <w:szCs w:val="24"/>
        </w:rPr>
        <w:t>dann</w:t>
      </w:r>
      <w:r w:rsidR="00CB50CC">
        <w:rPr>
          <w:sz w:val="24"/>
          <w:szCs w:val="24"/>
        </w:rPr>
        <w:t xml:space="preserve"> </w:t>
      </w:r>
      <w:r w:rsidR="00FA588B">
        <w:rPr>
          <w:sz w:val="24"/>
          <w:szCs w:val="24"/>
        </w:rPr>
        <w:t xml:space="preserve">nach </w:t>
      </w:r>
      <w:r w:rsidR="00107622">
        <w:rPr>
          <w:sz w:val="24"/>
          <w:szCs w:val="24"/>
        </w:rPr>
        <w:t>St. Petersburg</w:t>
      </w:r>
      <w:r w:rsidR="00CB50CC">
        <w:rPr>
          <w:sz w:val="24"/>
          <w:szCs w:val="24"/>
        </w:rPr>
        <w:t xml:space="preserve">, </w:t>
      </w:r>
      <w:r w:rsidR="008C64DE">
        <w:rPr>
          <w:sz w:val="24"/>
          <w:szCs w:val="24"/>
        </w:rPr>
        <w:t xml:space="preserve">vermutlich </w:t>
      </w:r>
      <w:r w:rsidR="00CB50CC">
        <w:rPr>
          <w:sz w:val="24"/>
          <w:szCs w:val="24"/>
        </w:rPr>
        <w:t>um</w:t>
      </w:r>
      <w:r w:rsidR="00FA588B">
        <w:rPr>
          <w:sz w:val="24"/>
          <w:szCs w:val="24"/>
        </w:rPr>
        <w:t xml:space="preserve"> </w:t>
      </w:r>
      <w:r w:rsidR="007C74FB">
        <w:rPr>
          <w:sz w:val="24"/>
          <w:szCs w:val="24"/>
        </w:rPr>
        <w:t xml:space="preserve">Instruktionen </w:t>
      </w:r>
      <w:r w:rsidR="00FA588B">
        <w:rPr>
          <w:sz w:val="24"/>
          <w:szCs w:val="24"/>
        </w:rPr>
        <w:t xml:space="preserve">an die </w:t>
      </w:r>
      <w:r w:rsidR="00B118C3">
        <w:rPr>
          <w:sz w:val="24"/>
          <w:szCs w:val="24"/>
        </w:rPr>
        <w:t>illegalen</w:t>
      </w:r>
      <w:r w:rsidR="00FA588B">
        <w:rPr>
          <w:sz w:val="24"/>
          <w:szCs w:val="24"/>
        </w:rPr>
        <w:t xml:space="preserve"> </w:t>
      </w:r>
      <w:r w:rsidR="00107622">
        <w:rPr>
          <w:sz w:val="24"/>
          <w:szCs w:val="24"/>
        </w:rPr>
        <w:t>Parteigruppen</w:t>
      </w:r>
      <w:r w:rsidR="00CB50CC">
        <w:rPr>
          <w:sz w:val="24"/>
          <w:szCs w:val="24"/>
        </w:rPr>
        <w:t xml:space="preserve"> </w:t>
      </w:r>
      <w:r w:rsidR="00083171">
        <w:rPr>
          <w:sz w:val="24"/>
          <w:szCs w:val="24"/>
        </w:rPr>
        <w:t xml:space="preserve">der Bolschewiki </w:t>
      </w:r>
      <w:r w:rsidR="00CB50CC">
        <w:rPr>
          <w:sz w:val="24"/>
          <w:szCs w:val="24"/>
        </w:rPr>
        <w:t>zu übermitteln</w:t>
      </w:r>
      <w:r w:rsidR="00FA588B">
        <w:rPr>
          <w:sz w:val="24"/>
          <w:szCs w:val="24"/>
        </w:rPr>
        <w:t>.</w:t>
      </w:r>
      <w:r w:rsidR="00FA588B">
        <w:rPr>
          <w:rStyle w:val="Funotenzeichen"/>
          <w:sz w:val="24"/>
          <w:szCs w:val="24"/>
        </w:rPr>
        <w:footnoteReference w:id="7"/>
      </w:r>
      <w:r w:rsidR="007C74FB">
        <w:rPr>
          <w:sz w:val="24"/>
          <w:szCs w:val="24"/>
        </w:rPr>
        <w:t xml:space="preserve"> </w:t>
      </w:r>
      <w:r w:rsidR="00107622">
        <w:rPr>
          <w:sz w:val="24"/>
          <w:szCs w:val="24"/>
        </w:rPr>
        <w:t>Er</w:t>
      </w:r>
      <w:r w:rsidR="0026308F">
        <w:rPr>
          <w:sz w:val="24"/>
          <w:szCs w:val="24"/>
        </w:rPr>
        <w:t xml:space="preserve"> </w:t>
      </w:r>
      <w:r w:rsidR="007C74FB">
        <w:rPr>
          <w:sz w:val="24"/>
          <w:szCs w:val="24"/>
        </w:rPr>
        <w:t xml:space="preserve">wird </w:t>
      </w:r>
      <w:r w:rsidR="00977199">
        <w:rPr>
          <w:sz w:val="24"/>
          <w:szCs w:val="24"/>
        </w:rPr>
        <w:t xml:space="preserve">in St. Petersburg </w:t>
      </w:r>
      <w:r w:rsidR="007C74FB">
        <w:rPr>
          <w:sz w:val="24"/>
          <w:szCs w:val="24"/>
        </w:rPr>
        <w:t xml:space="preserve">verhaftet und an die rumänischen Behörden übergeben. </w:t>
      </w:r>
      <w:r w:rsidR="00977199">
        <w:rPr>
          <w:sz w:val="24"/>
          <w:szCs w:val="24"/>
        </w:rPr>
        <w:t>In</w:t>
      </w:r>
      <w:r w:rsidR="007C74FB">
        <w:rPr>
          <w:sz w:val="24"/>
          <w:szCs w:val="24"/>
        </w:rPr>
        <w:t xml:space="preserve"> Bukarest organisiert </w:t>
      </w:r>
      <w:proofErr w:type="spellStart"/>
      <w:r w:rsidR="007C74FB">
        <w:rPr>
          <w:sz w:val="24"/>
          <w:szCs w:val="24"/>
        </w:rPr>
        <w:t>Marcu</w:t>
      </w:r>
      <w:proofErr w:type="spellEnd"/>
      <w:r w:rsidR="007C74FB">
        <w:rPr>
          <w:sz w:val="24"/>
          <w:szCs w:val="24"/>
        </w:rPr>
        <w:t xml:space="preserve"> </w:t>
      </w:r>
      <w:r w:rsidR="00977199">
        <w:rPr>
          <w:sz w:val="24"/>
          <w:szCs w:val="24"/>
        </w:rPr>
        <w:t>erneut</w:t>
      </w:r>
      <w:r w:rsidR="00B53A96">
        <w:rPr>
          <w:sz w:val="24"/>
          <w:szCs w:val="24"/>
        </w:rPr>
        <w:t xml:space="preserve"> </w:t>
      </w:r>
      <w:r w:rsidR="007C74FB">
        <w:rPr>
          <w:sz w:val="24"/>
          <w:szCs w:val="24"/>
        </w:rPr>
        <w:t>Antikriegspropaganda.</w:t>
      </w:r>
      <w:r w:rsidR="00807806">
        <w:rPr>
          <w:sz w:val="24"/>
          <w:szCs w:val="24"/>
        </w:rPr>
        <w:t xml:space="preserve"> </w:t>
      </w:r>
      <w:r w:rsidR="00B118C3">
        <w:rPr>
          <w:sz w:val="24"/>
          <w:szCs w:val="24"/>
        </w:rPr>
        <w:t xml:space="preserve">Noch einmal </w:t>
      </w:r>
      <w:r w:rsidR="00807806">
        <w:rPr>
          <w:sz w:val="24"/>
          <w:szCs w:val="24"/>
        </w:rPr>
        <w:t xml:space="preserve">wird </w:t>
      </w:r>
      <w:r w:rsidR="00107622">
        <w:rPr>
          <w:sz w:val="24"/>
          <w:szCs w:val="24"/>
        </w:rPr>
        <w:t>er</w:t>
      </w:r>
      <w:r w:rsidR="00197A5F">
        <w:rPr>
          <w:sz w:val="24"/>
          <w:szCs w:val="24"/>
        </w:rPr>
        <w:t xml:space="preserve"> </w:t>
      </w:r>
      <w:r w:rsidR="00807806">
        <w:rPr>
          <w:sz w:val="24"/>
          <w:szCs w:val="24"/>
        </w:rPr>
        <w:t>verhaftet</w:t>
      </w:r>
      <w:r w:rsidR="00B118C3">
        <w:rPr>
          <w:sz w:val="24"/>
          <w:szCs w:val="24"/>
        </w:rPr>
        <w:t xml:space="preserve">; </w:t>
      </w:r>
      <w:r w:rsidR="00107622">
        <w:rPr>
          <w:sz w:val="24"/>
          <w:szCs w:val="24"/>
        </w:rPr>
        <w:t xml:space="preserve">diesmal </w:t>
      </w:r>
      <w:r w:rsidR="00B118C3">
        <w:rPr>
          <w:sz w:val="24"/>
          <w:szCs w:val="24"/>
        </w:rPr>
        <w:t xml:space="preserve">wird er </w:t>
      </w:r>
      <w:r w:rsidR="00807806">
        <w:rPr>
          <w:sz w:val="24"/>
          <w:szCs w:val="24"/>
        </w:rPr>
        <w:t xml:space="preserve">zur Verbüßung </w:t>
      </w:r>
      <w:r w:rsidR="00B54345">
        <w:rPr>
          <w:sz w:val="24"/>
          <w:szCs w:val="24"/>
        </w:rPr>
        <w:t>d</w:t>
      </w:r>
      <w:r w:rsidR="00807806">
        <w:rPr>
          <w:sz w:val="24"/>
          <w:szCs w:val="24"/>
        </w:rPr>
        <w:t>er Strafe nach Deutschland deportiert</w:t>
      </w:r>
      <w:r w:rsidR="00977199">
        <w:rPr>
          <w:sz w:val="24"/>
          <w:szCs w:val="24"/>
        </w:rPr>
        <w:t xml:space="preserve"> und dort interniert</w:t>
      </w:r>
      <w:r w:rsidR="00807806">
        <w:rPr>
          <w:sz w:val="24"/>
          <w:szCs w:val="24"/>
        </w:rPr>
        <w:t>.</w:t>
      </w:r>
      <w:r w:rsidR="00B118C3">
        <w:rPr>
          <w:sz w:val="24"/>
          <w:szCs w:val="24"/>
        </w:rPr>
        <w:t xml:space="preserve"> </w:t>
      </w:r>
      <w:r w:rsidR="00083171">
        <w:rPr>
          <w:sz w:val="24"/>
          <w:szCs w:val="24"/>
        </w:rPr>
        <w:t>1918</w:t>
      </w:r>
      <w:r w:rsidR="00721647">
        <w:rPr>
          <w:sz w:val="24"/>
          <w:szCs w:val="24"/>
        </w:rPr>
        <w:t>/19</w:t>
      </w:r>
      <w:r w:rsidR="00083171">
        <w:rPr>
          <w:sz w:val="24"/>
          <w:szCs w:val="24"/>
        </w:rPr>
        <w:t>,</w:t>
      </w:r>
      <w:r w:rsidR="00721647">
        <w:rPr>
          <w:sz w:val="24"/>
          <w:szCs w:val="24"/>
        </w:rPr>
        <w:t xml:space="preserve"> </w:t>
      </w:r>
      <w:r w:rsidR="00083171">
        <w:rPr>
          <w:sz w:val="24"/>
          <w:szCs w:val="24"/>
        </w:rPr>
        <w:t>w</w:t>
      </w:r>
      <w:r w:rsidR="000F7313">
        <w:rPr>
          <w:sz w:val="24"/>
          <w:szCs w:val="24"/>
        </w:rPr>
        <w:t>ährend der N</w:t>
      </w:r>
      <w:r w:rsidR="00807806">
        <w:rPr>
          <w:sz w:val="24"/>
          <w:szCs w:val="24"/>
        </w:rPr>
        <w:t>ovember</w:t>
      </w:r>
      <w:r w:rsidR="000F7313">
        <w:rPr>
          <w:sz w:val="24"/>
          <w:szCs w:val="24"/>
        </w:rPr>
        <w:t>revolution</w:t>
      </w:r>
      <w:r w:rsidR="00083171">
        <w:rPr>
          <w:sz w:val="24"/>
          <w:szCs w:val="24"/>
        </w:rPr>
        <w:t>,</w:t>
      </w:r>
      <w:r w:rsidR="00807806">
        <w:rPr>
          <w:sz w:val="24"/>
          <w:szCs w:val="24"/>
        </w:rPr>
        <w:t xml:space="preserve"> hält </w:t>
      </w:r>
      <w:r w:rsidR="00083171">
        <w:rPr>
          <w:sz w:val="24"/>
          <w:szCs w:val="24"/>
        </w:rPr>
        <w:t xml:space="preserve">er </w:t>
      </w:r>
      <w:r w:rsidR="00807806">
        <w:rPr>
          <w:sz w:val="24"/>
          <w:szCs w:val="24"/>
        </w:rPr>
        <w:t>sich in Zürich</w:t>
      </w:r>
      <w:r w:rsidR="00721647">
        <w:rPr>
          <w:sz w:val="24"/>
          <w:szCs w:val="24"/>
        </w:rPr>
        <w:t xml:space="preserve"> auf</w:t>
      </w:r>
      <w:r w:rsidR="00807806">
        <w:rPr>
          <w:sz w:val="24"/>
          <w:szCs w:val="24"/>
        </w:rPr>
        <w:t xml:space="preserve">, </w:t>
      </w:r>
      <w:r w:rsidR="00364D00">
        <w:rPr>
          <w:sz w:val="24"/>
          <w:szCs w:val="24"/>
        </w:rPr>
        <w:t xml:space="preserve">zeitweilig auch in Ungarn, </w:t>
      </w:r>
      <w:r w:rsidR="000F7313">
        <w:rPr>
          <w:sz w:val="24"/>
          <w:szCs w:val="24"/>
        </w:rPr>
        <w:t xml:space="preserve">zum </w:t>
      </w:r>
      <w:r w:rsidR="00807806">
        <w:rPr>
          <w:sz w:val="24"/>
          <w:szCs w:val="24"/>
        </w:rPr>
        <w:t>überwiegend</w:t>
      </w:r>
      <w:r w:rsidR="000F7313">
        <w:rPr>
          <w:sz w:val="24"/>
          <w:szCs w:val="24"/>
        </w:rPr>
        <w:t>en Teil</w:t>
      </w:r>
      <w:r w:rsidR="00807806">
        <w:rPr>
          <w:sz w:val="24"/>
          <w:szCs w:val="24"/>
        </w:rPr>
        <w:t xml:space="preserve"> jedoch in Deutschland. Aufgrund seiner Verbindungen </w:t>
      </w:r>
      <w:r w:rsidR="00364D00">
        <w:rPr>
          <w:sz w:val="24"/>
          <w:szCs w:val="24"/>
        </w:rPr>
        <w:t>zu</w:t>
      </w:r>
      <w:r w:rsidR="00807806">
        <w:rPr>
          <w:sz w:val="24"/>
          <w:szCs w:val="24"/>
        </w:rPr>
        <w:t xml:space="preserve"> </w:t>
      </w:r>
      <w:r w:rsidR="000F7313">
        <w:rPr>
          <w:sz w:val="24"/>
          <w:szCs w:val="24"/>
        </w:rPr>
        <w:t xml:space="preserve">den </w:t>
      </w:r>
      <w:r w:rsidR="00807806">
        <w:rPr>
          <w:sz w:val="24"/>
          <w:szCs w:val="24"/>
        </w:rPr>
        <w:t xml:space="preserve">führenden Bolschewiki wird er </w:t>
      </w:r>
      <w:r w:rsidR="00B118C3">
        <w:rPr>
          <w:sz w:val="24"/>
          <w:szCs w:val="24"/>
        </w:rPr>
        <w:t xml:space="preserve">auch </w:t>
      </w:r>
      <w:r w:rsidR="00721647">
        <w:rPr>
          <w:sz w:val="24"/>
          <w:szCs w:val="24"/>
        </w:rPr>
        <w:t>während dieser Periode</w:t>
      </w:r>
      <w:r w:rsidR="008E5974">
        <w:rPr>
          <w:sz w:val="24"/>
          <w:szCs w:val="24"/>
        </w:rPr>
        <w:t xml:space="preserve"> </w:t>
      </w:r>
      <w:r w:rsidR="00807806">
        <w:rPr>
          <w:sz w:val="24"/>
          <w:szCs w:val="24"/>
        </w:rPr>
        <w:t xml:space="preserve">mit </w:t>
      </w:r>
      <w:r w:rsidR="00083171">
        <w:rPr>
          <w:sz w:val="24"/>
          <w:szCs w:val="24"/>
        </w:rPr>
        <w:t>konspirativen A</w:t>
      </w:r>
      <w:r w:rsidR="00807806">
        <w:rPr>
          <w:sz w:val="24"/>
          <w:szCs w:val="24"/>
        </w:rPr>
        <w:t>uf</w:t>
      </w:r>
      <w:r w:rsidR="00721647">
        <w:rPr>
          <w:sz w:val="24"/>
          <w:szCs w:val="24"/>
        </w:rPr>
        <w:t>gab</w:t>
      </w:r>
      <w:r w:rsidR="00807806">
        <w:rPr>
          <w:sz w:val="24"/>
          <w:szCs w:val="24"/>
        </w:rPr>
        <w:t xml:space="preserve">en betraut. </w:t>
      </w:r>
    </w:p>
    <w:p w:rsidR="00C939E4" w:rsidRDefault="00B118C3" w:rsidP="005F0DB1">
      <w:pPr>
        <w:spacing w:after="0"/>
        <w:rPr>
          <w:sz w:val="24"/>
          <w:szCs w:val="24"/>
        </w:rPr>
      </w:pPr>
      <w:r>
        <w:rPr>
          <w:sz w:val="24"/>
          <w:szCs w:val="24"/>
        </w:rPr>
        <w:tab/>
      </w:r>
      <w:r w:rsidR="008C64DE">
        <w:rPr>
          <w:sz w:val="24"/>
          <w:szCs w:val="24"/>
        </w:rPr>
        <w:t xml:space="preserve">In den folgenden zwei </w:t>
      </w:r>
      <w:r w:rsidR="00A040B5">
        <w:rPr>
          <w:sz w:val="24"/>
          <w:szCs w:val="24"/>
        </w:rPr>
        <w:t>Jahren lockert sich die Verbindung zur KPD</w:t>
      </w:r>
      <w:r w:rsidR="00107622">
        <w:rPr>
          <w:sz w:val="24"/>
          <w:szCs w:val="24"/>
        </w:rPr>
        <w:t>, speziell zu den Bolschewiki</w:t>
      </w:r>
      <w:r w:rsidR="00A040B5">
        <w:rPr>
          <w:sz w:val="24"/>
          <w:szCs w:val="24"/>
        </w:rPr>
        <w:t xml:space="preserve">. </w:t>
      </w:r>
      <w:proofErr w:type="spellStart"/>
      <w:r w:rsidR="00083171">
        <w:rPr>
          <w:sz w:val="24"/>
          <w:szCs w:val="24"/>
        </w:rPr>
        <w:t>Marcu</w:t>
      </w:r>
      <w:proofErr w:type="spellEnd"/>
      <w:r w:rsidR="00A040B5">
        <w:rPr>
          <w:sz w:val="24"/>
          <w:szCs w:val="24"/>
        </w:rPr>
        <w:t xml:space="preserve"> kritisiert</w:t>
      </w:r>
      <w:r w:rsidR="008C64DE">
        <w:rPr>
          <w:sz w:val="24"/>
          <w:szCs w:val="24"/>
        </w:rPr>
        <w:t xml:space="preserve"> de</w:t>
      </w:r>
      <w:r w:rsidR="00A040B5">
        <w:rPr>
          <w:sz w:val="24"/>
          <w:szCs w:val="24"/>
        </w:rPr>
        <w:t>n</w:t>
      </w:r>
      <w:r w:rsidR="008C64DE">
        <w:rPr>
          <w:sz w:val="24"/>
          <w:szCs w:val="24"/>
        </w:rPr>
        <w:t xml:space="preserve"> </w:t>
      </w:r>
      <w:r w:rsidR="000F7313">
        <w:rPr>
          <w:sz w:val="24"/>
          <w:szCs w:val="24"/>
        </w:rPr>
        <w:t xml:space="preserve">Führungsanspruch der sowjetischen </w:t>
      </w:r>
      <w:r w:rsidR="00107622">
        <w:rPr>
          <w:sz w:val="24"/>
          <w:szCs w:val="24"/>
        </w:rPr>
        <w:t>KP</w:t>
      </w:r>
      <w:r w:rsidR="0026308F">
        <w:rPr>
          <w:sz w:val="24"/>
          <w:szCs w:val="24"/>
        </w:rPr>
        <w:t xml:space="preserve"> </w:t>
      </w:r>
      <w:r w:rsidR="008C64DE">
        <w:rPr>
          <w:sz w:val="24"/>
          <w:szCs w:val="24"/>
        </w:rPr>
        <w:t xml:space="preserve">gegenüber </w:t>
      </w:r>
      <w:r w:rsidR="0026308F">
        <w:rPr>
          <w:sz w:val="24"/>
          <w:szCs w:val="24"/>
        </w:rPr>
        <w:t>de</w:t>
      </w:r>
      <w:r w:rsidR="00721647">
        <w:rPr>
          <w:sz w:val="24"/>
          <w:szCs w:val="24"/>
        </w:rPr>
        <w:t>n</w:t>
      </w:r>
      <w:r w:rsidR="0026308F">
        <w:rPr>
          <w:sz w:val="24"/>
          <w:szCs w:val="24"/>
        </w:rPr>
        <w:t xml:space="preserve"> </w:t>
      </w:r>
      <w:r w:rsidR="00721647">
        <w:rPr>
          <w:sz w:val="24"/>
          <w:szCs w:val="24"/>
        </w:rPr>
        <w:t>anderen kommunistischen</w:t>
      </w:r>
      <w:r w:rsidR="0026308F">
        <w:rPr>
          <w:sz w:val="24"/>
          <w:szCs w:val="24"/>
        </w:rPr>
        <w:t xml:space="preserve"> </w:t>
      </w:r>
      <w:r w:rsidR="000F7313">
        <w:rPr>
          <w:sz w:val="24"/>
          <w:szCs w:val="24"/>
        </w:rPr>
        <w:t>Partei</w:t>
      </w:r>
      <w:r w:rsidR="00721647">
        <w:rPr>
          <w:sz w:val="24"/>
          <w:szCs w:val="24"/>
        </w:rPr>
        <w:t xml:space="preserve">en, vor allem </w:t>
      </w:r>
      <w:r>
        <w:rPr>
          <w:sz w:val="24"/>
          <w:szCs w:val="24"/>
        </w:rPr>
        <w:t xml:space="preserve">die Einmischungen in </w:t>
      </w:r>
      <w:r w:rsidR="00083171">
        <w:rPr>
          <w:sz w:val="24"/>
          <w:szCs w:val="24"/>
        </w:rPr>
        <w:t>di</w:t>
      </w:r>
      <w:r>
        <w:rPr>
          <w:sz w:val="24"/>
          <w:szCs w:val="24"/>
        </w:rPr>
        <w:t>e Politik</w:t>
      </w:r>
      <w:r w:rsidR="00083171">
        <w:rPr>
          <w:sz w:val="24"/>
          <w:szCs w:val="24"/>
        </w:rPr>
        <w:t xml:space="preserve"> der deutschen Partei</w:t>
      </w:r>
      <w:r w:rsidR="000F7313">
        <w:rPr>
          <w:sz w:val="24"/>
          <w:szCs w:val="24"/>
        </w:rPr>
        <w:t xml:space="preserve">. </w:t>
      </w:r>
      <w:r w:rsidR="00721647">
        <w:rPr>
          <w:sz w:val="24"/>
          <w:szCs w:val="24"/>
        </w:rPr>
        <w:t xml:space="preserve">Hinzu kommt, dass </w:t>
      </w:r>
      <w:proofErr w:type="spellStart"/>
      <w:r w:rsidR="00721647">
        <w:rPr>
          <w:sz w:val="24"/>
          <w:szCs w:val="24"/>
        </w:rPr>
        <w:t>Marcu</w:t>
      </w:r>
      <w:proofErr w:type="spellEnd"/>
      <w:r w:rsidR="00721647">
        <w:rPr>
          <w:sz w:val="24"/>
          <w:szCs w:val="24"/>
        </w:rPr>
        <w:t xml:space="preserve"> w</w:t>
      </w:r>
      <w:r w:rsidR="000F7313">
        <w:rPr>
          <w:sz w:val="24"/>
          <w:szCs w:val="24"/>
        </w:rPr>
        <w:t>ie Paul Levi</w:t>
      </w:r>
      <w:r w:rsidR="0026308F">
        <w:rPr>
          <w:sz w:val="24"/>
          <w:szCs w:val="24"/>
        </w:rPr>
        <w:t xml:space="preserve">, </w:t>
      </w:r>
      <w:r w:rsidR="00860AAA">
        <w:rPr>
          <w:sz w:val="24"/>
          <w:szCs w:val="24"/>
        </w:rPr>
        <w:t xml:space="preserve">der </w:t>
      </w:r>
      <w:r w:rsidR="003C297D">
        <w:rPr>
          <w:sz w:val="24"/>
          <w:szCs w:val="24"/>
        </w:rPr>
        <w:t xml:space="preserve">langjährige </w:t>
      </w:r>
      <w:r w:rsidR="00860AAA">
        <w:rPr>
          <w:sz w:val="24"/>
          <w:szCs w:val="24"/>
        </w:rPr>
        <w:t>Vertraute Rosa Luxemburg</w:t>
      </w:r>
      <w:r w:rsidR="003C297D">
        <w:rPr>
          <w:sz w:val="24"/>
          <w:szCs w:val="24"/>
        </w:rPr>
        <w:t>s</w:t>
      </w:r>
      <w:r w:rsidR="00860AAA">
        <w:rPr>
          <w:sz w:val="24"/>
          <w:szCs w:val="24"/>
        </w:rPr>
        <w:t xml:space="preserve"> und Mitbegründer der KPD, </w:t>
      </w:r>
      <w:r w:rsidR="008E5974">
        <w:rPr>
          <w:sz w:val="24"/>
          <w:szCs w:val="24"/>
        </w:rPr>
        <w:t>offen</w:t>
      </w:r>
      <w:r w:rsidR="000F7313">
        <w:rPr>
          <w:sz w:val="24"/>
          <w:szCs w:val="24"/>
        </w:rPr>
        <w:t>e</w:t>
      </w:r>
      <w:r w:rsidR="008E5974">
        <w:rPr>
          <w:sz w:val="24"/>
          <w:szCs w:val="24"/>
        </w:rPr>
        <w:t xml:space="preserve"> </w:t>
      </w:r>
      <w:r w:rsidR="00364D00">
        <w:rPr>
          <w:sz w:val="24"/>
          <w:szCs w:val="24"/>
        </w:rPr>
        <w:t>K</w:t>
      </w:r>
      <w:r w:rsidR="00807806">
        <w:rPr>
          <w:sz w:val="24"/>
          <w:szCs w:val="24"/>
        </w:rPr>
        <w:t>ritik am „</w:t>
      </w:r>
      <w:proofErr w:type="spellStart"/>
      <w:r w:rsidR="00807806">
        <w:rPr>
          <w:sz w:val="24"/>
          <w:szCs w:val="24"/>
        </w:rPr>
        <w:t>Putschismus</w:t>
      </w:r>
      <w:proofErr w:type="spellEnd"/>
      <w:r w:rsidR="00807806">
        <w:rPr>
          <w:sz w:val="24"/>
          <w:szCs w:val="24"/>
        </w:rPr>
        <w:t xml:space="preserve">“ </w:t>
      </w:r>
      <w:r w:rsidR="008E5974">
        <w:rPr>
          <w:sz w:val="24"/>
          <w:szCs w:val="24"/>
        </w:rPr>
        <w:t>der KPD</w:t>
      </w:r>
      <w:r w:rsidR="00721647">
        <w:rPr>
          <w:sz w:val="24"/>
          <w:szCs w:val="24"/>
        </w:rPr>
        <w:t xml:space="preserve"> übt</w:t>
      </w:r>
      <w:r w:rsidR="00364D00">
        <w:rPr>
          <w:sz w:val="24"/>
          <w:szCs w:val="24"/>
        </w:rPr>
        <w:t>. Dies</w:t>
      </w:r>
      <w:r w:rsidR="00C939E4">
        <w:rPr>
          <w:sz w:val="24"/>
          <w:szCs w:val="24"/>
        </w:rPr>
        <w:t xml:space="preserve"> </w:t>
      </w:r>
      <w:r w:rsidR="00364D00">
        <w:rPr>
          <w:sz w:val="24"/>
          <w:szCs w:val="24"/>
        </w:rPr>
        <w:t xml:space="preserve">führt </w:t>
      </w:r>
      <w:r w:rsidR="009370CA">
        <w:rPr>
          <w:sz w:val="24"/>
          <w:szCs w:val="24"/>
        </w:rPr>
        <w:t>im Sommer 1921</w:t>
      </w:r>
      <w:r w:rsidR="00107622">
        <w:rPr>
          <w:sz w:val="24"/>
          <w:szCs w:val="24"/>
        </w:rPr>
        <w:t xml:space="preserve"> </w:t>
      </w:r>
      <w:r w:rsidR="00364D00">
        <w:rPr>
          <w:sz w:val="24"/>
          <w:szCs w:val="24"/>
        </w:rPr>
        <w:t>zu</w:t>
      </w:r>
      <w:r w:rsidR="00807806">
        <w:rPr>
          <w:sz w:val="24"/>
          <w:szCs w:val="24"/>
        </w:rPr>
        <w:t>m Parteiausschluss</w:t>
      </w:r>
      <w:r w:rsidR="00364D00">
        <w:rPr>
          <w:sz w:val="24"/>
          <w:szCs w:val="24"/>
        </w:rPr>
        <w:t xml:space="preserve"> Paul Levis </w:t>
      </w:r>
      <w:r w:rsidR="00721647">
        <w:rPr>
          <w:sz w:val="24"/>
          <w:szCs w:val="24"/>
        </w:rPr>
        <w:t>sowie</w:t>
      </w:r>
      <w:r w:rsidR="00364D00">
        <w:rPr>
          <w:sz w:val="24"/>
          <w:szCs w:val="24"/>
        </w:rPr>
        <w:t xml:space="preserve"> seiner Anhänger, also auch Marcus</w:t>
      </w:r>
      <w:r w:rsidR="00807806">
        <w:rPr>
          <w:sz w:val="24"/>
          <w:szCs w:val="24"/>
        </w:rPr>
        <w:t>.</w:t>
      </w:r>
      <w:r w:rsidR="0043422D">
        <w:rPr>
          <w:sz w:val="24"/>
          <w:szCs w:val="24"/>
        </w:rPr>
        <w:t xml:space="preserve"> </w:t>
      </w:r>
      <w:r w:rsidR="000F7313">
        <w:rPr>
          <w:sz w:val="24"/>
          <w:szCs w:val="24"/>
        </w:rPr>
        <w:t xml:space="preserve">– </w:t>
      </w:r>
      <w:r w:rsidR="00107622">
        <w:rPr>
          <w:sz w:val="24"/>
          <w:szCs w:val="24"/>
        </w:rPr>
        <w:t>Damit</w:t>
      </w:r>
      <w:r w:rsidR="000F7313">
        <w:rPr>
          <w:sz w:val="24"/>
          <w:szCs w:val="24"/>
        </w:rPr>
        <w:t xml:space="preserve"> ist </w:t>
      </w:r>
      <w:proofErr w:type="spellStart"/>
      <w:r w:rsidR="00107622">
        <w:rPr>
          <w:sz w:val="24"/>
          <w:szCs w:val="24"/>
        </w:rPr>
        <w:t>Marcu</w:t>
      </w:r>
      <w:proofErr w:type="spellEnd"/>
      <w:r w:rsidR="00107622">
        <w:rPr>
          <w:sz w:val="24"/>
          <w:szCs w:val="24"/>
        </w:rPr>
        <w:t xml:space="preserve"> </w:t>
      </w:r>
      <w:r w:rsidR="000F7313">
        <w:rPr>
          <w:sz w:val="24"/>
          <w:szCs w:val="24"/>
        </w:rPr>
        <w:t xml:space="preserve">politisch ins Abseits geraten. </w:t>
      </w:r>
      <w:r w:rsidR="0043422D">
        <w:rPr>
          <w:sz w:val="24"/>
          <w:szCs w:val="24"/>
        </w:rPr>
        <w:t xml:space="preserve">Eine Zeitlang </w:t>
      </w:r>
      <w:r w:rsidR="000F7313">
        <w:rPr>
          <w:sz w:val="24"/>
          <w:szCs w:val="24"/>
        </w:rPr>
        <w:t>finanziert er</w:t>
      </w:r>
      <w:r w:rsidR="0043422D">
        <w:rPr>
          <w:sz w:val="24"/>
          <w:szCs w:val="24"/>
        </w:rPr>
        <w:t xml:space="preserve"> </w:t>
      </w:r>
      <w:r w:rsidR="00C939E4">
        <w:rPr>
          <w:sz w:val="24"/>
          <w:szCs w:val="24"/>
        </w:rPr>
        <w:t>seinen Lebensunterhalt</w:t>
      </w:r>
      <w:r w:rsidR="00721647">
        <w:rPr>
          <w:sz w:val="24"/>
          <w:szCs w:val="24"/>
        </w:rPr>
        <w:t xml:space="preserve"> durch Veröffentlichungen </w:t>
      </w:r>
      <w:r w:rsidR="0043422D">
        <w:rPr>
          <w:sz w:val="24"/>
          <w:szCs w:val="24"/>
        </w:rPr>
        <w:t>in den von Willi Münzenberg gelenkten Zeitschriften</w:t>
      </w:r>
      <w:r w:rsidR="00721647">
        <w:rPr>
          <w:sz w:val="24"/>
          <w:szCs w:val="24"/>
        </w:rPr>
        <w:t>.</w:t>
      </w:r>
      <w:r w:rsidR="00721647">
        <w:rPr>
          <w:rStyle w:val="Funotenzeichen"/>
          <w:sz w:val="24"/>
          <w:szCs w:val="24"/>
        </w:rPr>
        <w:footnoteReference w:id="8"/>
      </w:r>
      <w:r w:rsidR="0043422D">
        <w:rPr>
          <w:sz w:val="24"/>
          <w:szCs w:val="24"/>
        </w:rPr>
        <w:t xml:space="preserve"> </w:t>
      </w:r>
      <w:r w:rsidR="00721647">
        <w:rPr>
          <w:sz w:val="24"/>
          <w:szCs w:val="24"/>
        </w:rPr>
        <w:t>V</w:t>
      </w:r>
      <w:r w:rsidR="0043422D">
        <w:rPr>
          <w:sz w:val="24"/>
          <w:szCs w:val="24"/>
        </w:rPr>
        <w:t xml:space="preserve">on 1925 an </w:t>
      </w:r>
      <w:r w:rsidR="00721647">
        <w:rPr>
          <w:sz w:val="24"/>
          <w:szCs w:val="24"/>
        </w:rPr>
        <w:t xml:space="preserve">schreibt er </w:t>
      </w:r>
      <w:r w:rsidR="00C34042">
        <w:rPr>
          <w:sz w:val="24"/>
          <w:szCs w:val="24"/>
        </w:rPr>
        <w:t>auch</w:t>
      </w:r>
      <w:r w:rsidR="0043422D">
        <w:rPr>
          <w:sz w:val="24"/>
          <w:szCs w:val="24"/>
        </w:rPr>
        <w:t xml:space="preserve"> </w:t>
      </w:r>
      <w:r w:rsidR="00721647">
        <w:rPr>
          <w:sz w:val="24"/>
          <w:szCs w:val="24"/>
        </w:rPr>
        <w:t>für die</w:t>
      </w:r>
      <w:r w:rsidR="0043422D">
        <w:rPr>
          <w:sz w:val="24"/>
          <w:szCs w:val="24"/>
        </w:rPr>
        <w:t xml:space="preserve"> </w:t>
      </w:r>
      <w:proofErr w:type="spellStart"/>
      <w:r w:rsidR="0043422D">
        <w:rPr>
          <w:sz w:val="24"/>
          <w:szCs w:val="24"/>
        </w:rPr>
        <w:t>linksintellektuellen</w:t>
      </w:r>
      <w:proofErr w:type="spellEnd"/>
      <w:r w:rsidR="0043422D">
        <w:rPr>
          <w:sz w:val="24"/>
          <w:szCs w:val="24"/>
        </w:rPr>
        <w:t xml:space="preserve"> </w:t>
      </w:r>
      <w:r w:rsidR="00905135">
        <w:rPr>
          <w:sz w:val="24"/>
          <w:szCs w:val="24"/>
        </w:rPr>
        <w:t>Periodika</w:t>
      </w:r>
      <w:r w:rsidR="00860AAA">
        <w:rPr>
          <w:sz w:val="24"/>
          <w:szCs w:val="24"/>
        </w:rPr>
        <w:t xml:space="preserve"> der Weimarer Republik</w:t>
      </w:r>
      <w:r w:rsidR="00C91DB9">
        <w:rPr>
          <w:sz w:val="24"/>
          <w:szCs w:val="24"/>
        </w:rPr>
        <w:t>:</w:t>
      </w:r>
      <w:r w:rsidR="00C939E4">
        <w:rPr>
          <w:sz w:val="24"/>
          <w:szCs w:val="24"/>
        </w:rPr>
        <w:t xml:space="preserve"> </w:t>
      </w:r>
      <w:r w:rsidR="00721647">
        <w:rPr>
          <w:sz w:val="24"/>
          <w:szCs w:val="24"/>
        </w:rPr>
        <w:t xml:space="preserve">die </w:t>
      </w:r>
      <w:r w:rsidR="0043422D">
        <w:rPr>
          <w:i/>
          <w:sz w:val="24"/>
          <w:szCs w:val="24"/>
        </w:rPr>
        <w:t>Weltbühne</w:t>
      </w:r>
      <w:r w:rsidR="0043422D">
        <w:rPr>
          <w:sz w:val="24"/>
          <w:szCs w:val="24"/>
        </w:rPr>
        <w:t xml:space="preserve"> </w:t>
      </w:r>
      <w:r w:rsidR="008E5974">
        <w:rPr>
          <w:sz w:val="24"/>
          <w:szCs w:val="24"/>
        </w:rPr>
        <w:t xml:space="preserve">und </w:t>
      </w:r>
      <w:r w:rsidR="00721647">
        <w:rPr>
          <w:sz w:val="24"/>
          <w:szCs w:val="24"/>
        </w:rPr>
        <w:t>das</w:t>
      </w:r>
      <w:r w:rsidR="0043422D">
        <w:rPr>
          <w:sz w:val="24"/>
          <w:szCs w:val="24"/>
        </w:rPr>
        <w:t xml:space="preserve"> </w:t>
      </w:r>
      <w:r w:rsidR="0043422D">
        <w:rPr>
          <w:i/>
          <w:sz w:val="24"/>
          <w:szCs w:val="24"/>
        </w:rPr>
        <w:t>Tage-</w:t>
      </w:r>
      <w:r w:rsidR="0043422D" w:rsidRPr="0043422D">
        <w:rPr>
          <w:i/>
          <w:sz w:val="24"/>
          <w:szCs w:val="24"/>
        </w:rPr>
        <w:t>Buch</w:t>
      </w:r>
      <w:r w:rsidR="0043422D">
        <w:rPr>
          <w:sz w:val="24"/>
          <w:szCs w:val="24"/>
        </w:rPr>
        <w:t xml:space="preserve">, </w:t>
      </w:r>
      <w:r w:rsidR="00DD725F">
        <w:rPr>
          <w:sz w:val="24"/>
          <w:szCs w:val="24"/>
        </w:rPr>
        <w:t>ebenso</w:t>
      </w:r>
      <w:r w:rsidR="0043422D">
        <w:rPr>
          <w:sz w:val="24"/>
          <w:szCs w:val="24"/>
        </w:rPr>
        <w:t xml:space="preserve"> </w:t>
      </w:r>
      <w:r w:rsidR="00721647">
        <w:rPr>
          <w:sz w:val="24"/>
          <w:szCs w:val="24"/>
        </w:rPr>
        <w:t>für die</w:t>
      </w:r>
      <w:r w:rsidR="00107622">
        <w:rPr>
          <w:sz w:val="24"/>
          <w:szCs w:val="24"/>
        </w:rPr>
        <w:t xml:space="preserve"> </w:t>
      </w:r>
      <w:r w:rsidR="00107622">
        <w:rPr>
          <w:i/>
          <w:sz w:val="24"/>
          <w:szCs w:val="24"/>
        </w:rPr>
        <w:t>Literarische Welt</w:t>
      </w:r>
      <w:r w:rsidR="00721647">
        <w:rPr>
          <w:sz w:val="24"/>
          <w:szCs w:val="24"/>
        </w:rPr>
        <w:t>, die</w:t>
      </w:r>
      <w:r w:rsidR="00107622" w:rsidRPr="00107622">
        <w:rPr>
          <w:sz w:val="24"/>
          <w:szCs w:val="24"/>
        </w:rPr>
        <w:t xml:space="preserve"> </w:t>
      </w:r>
      <w:r w:rsidR="00107622">
        <w:rPr>
          <w:i/>
          <w:sz w:val="24"/>
          <w:szCs w:val="24"/>
        </w:rPr>
        <w:t>Neue Rundschau</w:t>
      </w:r>
      <w:r w:rsidR="00860AAA">
        <w:rPr>
          <w:i/>
          <w:sz w:val="24"/>
          <w:szCs w:val="24"/>
        </w:rPr>
        <w:t xml:space="preserve"> </w:t>
      </w:r>
      <w:r w:rsidR="00721647" w:rsidRPr="00721647">
        <w:rPr>
          <w:sz w:val="24"/>
          <w:szCs w:val="24"/>
        </w:rPr>
        <w:t>sowie für</w:t>
      </w:r>
      <w:r w:rsidR="00107622">
        <w:rPr>
          <w:sz w:val="24"/>
          <w:szCs w:val="24"/>
        </w:rPr>
        <w:t xml:space="preserve"> </w:t>
      </w:r>
      <w:r w:rsidR="00DD725F">
        <w:rPr>
          <w:sz w:val="24"/>
          <w:szCs w:val="24"/>
        </w:rPr>
        <w:t>Z</w:t>
      </w:r>
      <w:r w:rsidR="0043422D">
        <w:rPr>
          <w:sz w:val="24"/>
          <w:szCs w:val="24"/>
        </w:rPr>
        <w:t xml:space="preserve">eitungen wie </w:t>
      </w:r>
      <w:r w:rsidR="002C2658">
        <w:rPr>
          <w:sz w:val="24"/>
          <w:szCs w:val="24"/>
        </w:rPr>
        <w:t>d</w:t>
      </w:r>
      <w:r w:rsidR="00DD725F">
        <w:rPr>
          <w:sz w:val="24"/>
          <w:szCs w:val="24"/>
        </w:rPr>
        <w:t>as</w:t>
      </w:r>
      <w:r w:rsidR="002C2658">
        <w:rPr>
          <w:sz w:val="24"/>
          <w:szCs w:val="24"/>
        </w:rPr>
        <w:t xml:space="preserve"> </w:t>
      </w:r>
      <w:r w:rsidR="0043422D" w:rsidRPr="002C2658">
        <w:rPr>
          <w:i/>
          <w:sz w:val="24"/>
          <w:szCs w:val="24"/>
        </w:rPr>
        <w:t>Berliner Tage</w:t>
      </w:r>
      <w:r w:rsidR="002C2658" w:rsidRPr="002C2658">
        <w:rPr>
          <w:i/>
          <w:sz w:val="24"/>
          <w:szCs w:val="24"/>
        </w:rPr>
        <w:t>blatt</w:t>
      </w:r>
      <w:r w:rsidR="0043422D">
        <w:rPr>
          <w:sz w:val="24"/>
          <w:szCs w:val="24"/>
        </w:rPr>
        <w:t xml:space="preserve"> </w:t>
      </w:r>
      <w:r w:rsidR="00C91DB9">
        <w:rPr>
          <w:sz w:val="24"/>
          <w:szCs w:val="24"/>
        </w:rPr>
        <w:t>und</w:t>
      </w:r>
      <w:r w:rsidR="0043422D">
        <w:rPr>
          <w:sz w:val="24"/>
          <w:szCs w:val="24"/>
        </w:rPr>
        <w:t xml:space="preserve"> d</w:t>
      </w:r>
      <w:r w:rsidR="00721647">
        <w:rPr>
          <w:sz w:val="24"/>
          <w:szCs w:val="24"/>
        </w:rPr>
        <w:t>ie</w:t>
      </w:r>
      <w:r w:rsidR="0043422D">
        <w:rPr>
          <w:sz w:val="24"/>
          <w:szCs w:val="24"/>
        </w:rPr>
        <w:t xml:space="preserve"> </w:t>
      </w:r>
      <w:r w:rsidR="0043422D" w:rsidRPr="002C2658">
        <w:rPr>
          <w:i/>
          <w:sz w:val="24"/>
          <w:szCs w:val="24"/>
        </w:rPr>
        <w:t>Vossische Zeitung</w:t>
      </w:r>
      <w:r w:rsidR="0043422D">
        <w:rPr>
          <w:sz w:val="24"/>
          <w:szCs w:val="24"/>
        </w:rPr>
        <w:t>. Er veröffentlich</w:t>
      </w:r>
      <w:r w:rsidR="002C2658">
        <w:rPr>
          <w:sz w:val="24"/>
          <w:szCs w:val="24"/>
        </w:rPr>
        <w:t xml:space="preserve">t </w:t>
      </w:r>
      <w:r w:rsidR="0043422D">
        <w:rPr>
          <w:sz w:val="24"/>
          <w:szCs w:val="24"/>
        </w:rPr>
        <w:t xml:space="preserve">mehrere historische </w:t>
      </w:r>
      <w:r w:rsidR="00AC6B96">
        <w:rPr>
          <w:sz w:val="24"/>
          <w:szCs w:val="24"/>
        </w:rPr>
        <w:t>Porträtstudi</w:t>
      </w:r>
      <w:r w:rsidR="0043422D">
        <w:rPr>
          <w:sz w:val="24"/>
          <w:szCs w:val="24"/>
        </w:rPr>
        <w:t>en und Essay-Bände</w:t>
      </w:r>
      <w:r w:rsidR="00C91DB9">
        <w:rPr>
          <w:sz w:val="24"/>
          <w:szCs w:val="24"/>
        </w:rPr>
        <w:t>, darunter eine Lenin- und eine Scharnhorst-Biografie</w:t>
      </w:r>
      <w:r w:rsidR="0043422D">
        <w:rPr>
          <w:sz w:val="24"/>
          <w:szCs w:val="24"/>
        </w:rPr>
        <w:t>.</w:t>
      </w:r>
      <w:r w:rsidR="00C91DB9">
        <w:rPr>
          <w:sz w:val="24"/>
          <w:szCs w:val="24"/>
        </w:rPr>
        <w:t xml:space="preserve"> Die Bücher erscheinen in renommierten Verlagen wie</w:t>
      </w:r>
      <w:r w:rsidR="005016B5">
        <w:rPr>
          <w:sz w:val="24"/>
          <w:szCs w:val="24"/>
        </w:rPr>
        <w:t xml:space="preserve"> der </w:t>
      </w:r>
      <w:proofErr w:type="spellStart"/>
      <w:r w:rsidR="005016B5">
        <w:rPr>
          <w:sz w:val="24"/>
          <w:szCs w:val="24"/>
        </w:rPr>
        <w:t>Laub’schen</w:t>
      </w:r>
      <w:proofErr w:type="spellEnd"/>
      <w:r w:rsidR="005016B5">
        <w:rPr>
          <w:sz w:val="24"/>
          <w:szCs w:val="24"/>
        </w:rPr>
        <w:t xml:space="preserve"> Verlagsanstalt, </w:t>
      </w:r>
      <w:r w:rsidR="00C34042">
        <w:rPr>
          <w:sz w:val="24"/>
          <w:szCs w:val="24"/>
        </w:rPr>
        <w:t xml:space="preserve">bei </w:t>
      </w:r>
      <w:r w:rsidR="005016B5">
        <w:rPr>
          <w:sz w:val="24"/>
          <w:szCs w:val="24"/>
        </w:rPr>
        <w:t xml:space="preserve">Hoffmann </w:t>
      </w:r>
      <w:r w:rsidR="00C34042">
        <w:rPr>
          <w:sz w:val="24"/>
          <w:szCs w:val="24"/>
        </w:rPr>
        <w:t>un</w:t>
      </w:r>
      <w:r w:rsidR="005016B5">
        <w:rPr>
          <w:sz w:val="24"/>
          <w:szCs w:val="24"/>
        </w:rPr>
        <w:t>d Campe, im Paul List Verlag, im Kiepenheuer sowie im S. Fischer Verlag.</w:t>
      </w:r>
      <w:r w:rsidR="00C91DB9">
        <w:rPr>
          <w:sz w:val="24"/>
          <w:szCs w:val="24"/>
        </w:rPr>
        <w:t xml:space="preserve"> Nach dem Tod von Paul Levi, </w:t>
      </w:r>
      <w:r w:rsidR="00860AAA">
        <w:rPr>
          <w:sz w:val="24"/>
          <w:szCs w:val="24"/>
        </w:rPr>
        <w:t xml:space="preserve">seinem politischen Mentor, </w:t>
      </w:r>
      <w:r w:rsidR="00C91DB9">
        <w:rPr>
          <w:sz w:val="24"/>
          <w:szCs w:val="24"/>
        </w:rPr>
        <w:t>werden die Kontakte zum konservativen Lager</w:t>
      </w:r>
      <w:r w:rsidR="00C34042" w:rsidRPr="00C34042">
        <w:rPr>
          <w:sz w:val="24"/>
          <w:szCs w:val="24"/>
        </w:rPr>
        <w:t xml:space="preserve"> </w:t>
      </w:r>
      <w:r w:rsidR="00C34042">
        <w:rPr>
          <w:sz w:val="24"/>
          <w:szCs w:val="24"/>
        </w:rPr>
        <w:t>enger</w:t>
      </w:r>
      <w:r w:rsidR="00C91DB9">
        <w:rPr>
          <w:sz w:val="24"/>
          <w:szCs w:val="24"/>
        </w:rPr>
        <w:t xml:space="preserve">: zu Ernst Jünger, Ernst </w:t>
      </w:r>
      <w:proofErr w:type="spellStart"/>
      <w:r w:rsidR="00C91DB9">
        <w:rPr>
          <w:sz w:val="24"/>
          <w:szCs w:val="24"/>
        </w:rPr>
        <w:t>Niekisch</w:t>
      </w:r>
      <w:proofErr w:type="spellEnd"/>
      <w:r w:rsidR="00C91DB9">
        <w:rPr>
          <w:sz w:val="24"/>
          <w:szCs w:val="24"/>
        </w:rPr>
        <w:t xml:space="preserve">, General von </w:t>
      </w:r>
      <w:proofErr w:type="spellStart"/>
      <w:r w:rsidR="00C91DB9">
        <w:rPr>
          <w:sz w:val="24"/>
          <w:szCs w:val="24"/>
        </w:rPr>
        <w:t>Seeckt</w:t>
      </w:r>
      <w:proofErr w:type="spellEnd"/>
      <w:r w:rsidR="00C34042">
        <w:rPr>
          <w:sz w:val="24"/>
          <w:szCs w:val="24"/>
        </w:rPr>
        <w:t xml:space="preserve"> und</w:t>
      </w:r>
      <w:r w:rsidR="00C91DB9">
        <w:rPr>
          <w:sz w:val="24"/>
          <w:szCs w:val="24"/>
        </w:rPr>
        <w:t xml:space="preserve"> zu ‚bürgerlichen‘ Poli</w:t>
      </w:r>
      <w:r w:rsidR="00181150">
        <w:rPr>
          <w:sz w:val="24"/>
          <w:szCs w:val="24"/>
        </w:rPr>
        <w:t>ti</w:t>
      </w:r>
      <w:r w:rsidR="00C91DB9">
        <w:rPr>
          <w:sz w:val="24"/>
          <w:szCs w:val="24"/>
        </w:rPr>
        <w:t xml:space="preserve">kern </w:t>
      </w:r>
      <w:r w:rsidR="00C34042">
        <w:rPr>
          <w:sz w:val="24"/>
          <w:szCs w:val="24"/>
        </w:rPr>
        <w:t xml:space="preserve">wie </w:t>
      </w:r>
      <w:r w:rsidR="00014D8B">
        <w:rPr>
          <w:sz w:val="24"/>
          <w:szCs w:val="24"/>
        </w:rPr>
        <w:t xml:space="preserve">Heinrich </w:t>
      </w:r>
      <w:r w:rsidR="00C91DB9">
        <w:rPr>
          <w:sz w:val="24"/>
          <w:szCs w:val="24"/>
        </w:rPr>
        <w:t xml:space="preserve">Brüning und </w:t>
      </w:r>
      <w:r w:rsidR="00014D8B">
        <w:rPr>
          <w:sz w:val="24"/>
          <w:szCs w:val="24"/>
        </w:rPr>
        <w:t xml:space="preserve">Gottfried </w:t>
      </w:r>
      <w:r w:rsidR="00C91DB9">
        <w:rPr>
          <w:sz w:val="24"/>
          <w:szCs w:val="24"/>
        </w:rPr>
        <w:t>Treviranus.</w:t>
      </w:r>
      <w:r w:rsidR="00C91DB9">
        <w:rPr>
          <w:rStyle w:val="Funotenzeichen"/>
          <w:sz w:val="24"/>
          <w:szCs w:val="24"/>
        </w:rPr>
        <w:footnoteReference w:id="9"/>
      </w:r>
      <w:r w:rsidR="002C2658">
        <w:rPr>
          <w:sz w:val="24"/>
          <w:szCs w:val="24"/>
        </w:rPr>
        <w:t xml:space="preserve"> </w:t>
      </w:r>
      <w:r w:rsidR="00181150">
        <w:rPr>
          <w:sz w:val="24"/>
          <w:szCs w:val="24"/>
        </w:rPr>
        <w:t xml:space="preserve">Willi </w:t>
      </w:r>
      <w:r w:rsidR="005016B5">
        <w:rPr>
          <w:sz w:val="24"/>
          <w:szCs w:val="24"/>
        </w:rPr>
        <w:t xml:space="preserve">Münzenberg wirft </w:t>
      </w:r>
      <w:proofErr w:type="spellStart"/>
      <w:r w:rsidR="005016B5">
        <w:rPr>
          <w:sz w:val="24"/>
          <w:szCs w:val="24"/>
        </w:rPr>
        <w:t>Marcu</w:t>
      </w:r>
      <w:proofErr w:type="spellEnd"/>
      <w:r w:rsidR="005016B5">
        <w:rPr>
          <w:sz w:val="24"/>
          <w:szCs w:val="24"/>
        </w:rPr>
        <w:t xml:space="preserve"> </w:t>
      </w:r>
      <w:r w:rsidR="00C34042">
        <w:rPr>
          <w:sz w:val="24"/>
          <w:szCs w:val="24"/>
        </w:rPr>
        <w:t xml:space="preserve">deshalb </w:t>
      </w:r>
      <w:r w:rsidR="005016B5">
        <w:rPr>
          <w:sz w:val="24"/>
          <w:szCs w:val="24"/>
        </w:rPr>
        <w:t>vor, er sei „ein bürgerlicher Schriftstel</w:t>
      </w:r>
      <w:r w:rsidR="00C34042">
        <w:rPr>
          <w:sz w:val="24"/>
          <w:szCs w:val="24"/>
        </w:rPr>
        <w:t>l</w:t>
      </w:r>
      <w:r w:rsidR="005016B5">
        <w:rPr>
          <w:sz w:val="24"/>
          <w:szCs w:val="24"/>
        </w:rPr>
        <w:t xml:space="preserve">er geworden, den die Kritiken der Blätter der </w:t>
      </w:r>
      <w:proofErr w:type="spellStart"/>
      <w:r w:rsidR="005016B5">
        <w:rPr>
          <w:sz w:val="24"/>
          <w:szCs w:val="24"/>
        </w:rPr>
        <w:t>Grossbourgoisie</w:t>
      </w:r>
      <w:proofErr w:type="spellEnd"/>
      <w:r w:rsidR="005016B5">
        <w:rPr>
          <w:sz w:val="24"/>
          <w:szCs w:val="24"/>
        </w:rPr>
        <w:t xml:space="preserve"> ebenso entzücken, wie er sie früher mit uns verspottete.“</w:t>
      </w:r>
      <w:r w:rsidR="005016B5">
        <w:rPr>
          <w:rStyle w:val="Funotenzeichen"/>
          <w:sz w:val="24"/>
          <w:szCs w:val="24"/>
        </w:rPr>
        <w:footnoteReference w:id="10"/>
      </w:r>
    </w:p>
    <w:p w:rsidR="00807806" w:rsidRPr="0043422D" w:rsidRDefault="00C939E4" w:rsidP="005F0DB1">
      <w:pPr>
        <w:spacing w:after="0"/>
        <w:rPr>
          <w:sz w:val="24"/>
          <w:szCs w:val="24"/>
        </w:rPr>
      </w:pPr>
      <w:r>
        <w:rPr>
          <w:sz w:val="24"/>
          <w:szCs w:val="24"/>
        </w:rPr>
        <w:tab/>
      </w:r>
      <w:r w:rsidR="002C2658">
        <w:rPr>
          <w:sz w:val="24"/>
          <w:szCs w:val="24"/>
        </w:rPr>
        <w:t>Von entscheidender Bedeutung für Marcu</w:t>
      </w:r>
      <w:r w:rsidR="00905135">
        <w:rPr>
          <w:sz w:val="24"/>
          <w:szCs w:val="24"/>
        </w:rPr>
        <w:t xml:space="preserve">s politische Entwicklung ist </w:t>
      </w:r>
      <w:r w:rsidR="00C34042">
        <w:rPr>
          <w:sz w:val="24"/>
          <w:szCs w:val="24"/>
        </w:rPr>
        <w:t xml:space="preserve">vermutlich </w:t>
      </w:r>
      <w:r w:rsidR="00905135">
        <w:rPr>
          <w:sz w:val="24"/>
          <w:szCs w:val="24"/>
        </w:rPr>
        <w:t>der</w:t>
      </w:r>
      <w:r w:rsidR="002C2658">
        <w:rPr>
          <w:sz w:val="24"/>
          <w:szCs w:val="24"/>
        </w:rPr>
        <w:t xml:space="preserve"> Hitler-Putsch von 1923. </w:t>
      </w:r>
      <w:r>
        <w:rPr>
          <w:sz w:val="24"/>
          <w:szCs w:val="24"/>
        </w:rPr>
        <w:t xml:space="preserve">Für </w:t>
      </w:r>
      <w:proofErr w:type="spellStart"/>
      <w:r>
        <w:rPr>
          <w:sz w:val="24"/>
          <w:szCs w:val="24"/>
        </w:rPr>
        <w:t>Marcu</w:t>
      </w:r>
      <w:proofErr w:type="spellEnd"/>
      <w:r>
        <w:rPr>
          <w:sz w:val="24"/>
          <w:szCs w:val="24"/>
        </w:rPr>
        <w:t xml:space="preserve"> geht der Aufstieg des</w:t>
      </w:r>
      <w:r w:rsidR="002C2658">
        <w:rPr>
          <w:sz w:val="24"/>
          <w:szCs w:val="24"/>
        </w:rPr>
        <w:t xml:space="preserve"> Faschismus auf Fehler der Arbeiterparteien Italien</w:t>
      </w:r>
      <w:r w:rsidR="008E5974">
        <w:rPr>
          <w:sz w:val="24"/>
          <w:szCs w:val="24"/>
        </w:rPr>
        <w:t>s</w:t>
      </w:r>
      <w:r w:rsidR="002C2658">
        <w:rPr>
          <w:sz w:val="24"/>
          <w:szCs w:val="24"/>
        </w:rPr>
        <w:t xml:space="preserve"> </w:t>
      </w:r>
      <w:r w:rsidR="008E5974">
        <w:rPr>
          <w:sz w:val="24"/>
          <w:szCs w:val="24"/>
        </w:rPr>
        <w:t>und</w:t>
      </w:r>
      <w:r w:rsidR="002C2658">
        <w:rPr>
          <w:sz w:val="24"/>
          <w:szCs w:val="24"/>
        </w:rPr>
        <w:t xml:space="preserve"> Deutschl</w:t>
      </w:r>
      <w:r w:rsidR="00C67D71">
        <w:rPr>
          <w:sz w:val="24"/>
          <w:szCs w:val="24"/>
        </w:rPr>
        <w:t>a</w:t>
      </w:r>
      <w:r w:rsidR="002C2658">
        <w:rPr>
          <w:sz w:val="24"/>
          <w:szCs w:val="24"/>
        </w:rPr>
        <w:t>nd</w:t>
      </w:r>
      <w:r w:rsidR="008E5974">
        <w:rPr>
          <w:sz w:val="24"/>
          <w:szCs w:val="24"/>
        </w:rPr>
        <w:t>s</w:t>
      </w:r>
      <w:r w:rsidR="002C2658">
        <w:rPr>
          <w:sz w:val="24"/>
          <w:szCs w:val="24"/>
        </w:rPr>
        <w:t xml:space="preserve"> zurück. D</w:t>
      </w:r>
      <w:r w:rsidR="00C34042">
        <w:rPr>
          <w:sz w:val="24"/>
          <w:szCs w:val="24"/>
        </w:rPr>
        <w:t>er</w:t>
      </w:r>
      <w:r w:rsidR="002C2658">
        <w:rPr>
          <w:sz w:val="24"/>
          <w:szCs w:val="24"/>
        </w:rPr>
        <w:t xml:space="preserve"> Faschismus ist für ihn keine </w:t>
      </w:r>
      <w:r w:rsidR="00C67D71">
        <w:rPr>
          <w:sz w:val="24"/>
          <w:szCs w:val="24"/>
        </w:rPr>
        <w:t>Randerscheinung und auch kein vorübergehendes Phänomen</w:t>
      </w:r>
      <w:r w:rsidR="002C2658">
        <w:rPr>
          <w:sz w:val="24"/>
          <w:szCs w:val="24"/>
        </w:rPr>
        <w:t>, „sondern die düstere Perspektive einer kommenden, ungeheuren, blutigen Zeit, die wir vielleicht bedauern, die wir aber nicht geschaffen haben, sondern die die Lebenserscheinungen der letzten Epoche des Kapitalismus sind.“</w:t>
      </w:r>
      <w:r w:rsidR="002C2658">
        <w:rPr>
          <w:rStyle w:val="Funotenzeichen"/>
          <w:sz w:val="24"/>
          <w:szCs w:val="24"/>
        </w:rPr>
        <w:footnoteReference w:id="11"/>
      </w:r>
      <w:r w:rsidR="002C2658">
        <w:rPr>
          <w:sz w:val="24"/>
          <w:szCs w:val="24"/>
        </w:rPr>
        <w:t xml:space="preserve"> </w:t>
      </w:r>
      <w:r w:rsidR="00181150">
        <w:rPr>
          <w:sz w:val="24"/>
          <w:szCs w:val="24"/>
        </w:rPr>
        <w:t>– M</w:t>
      </w:r>
      <w:r w:rsidR="002C2658">
        <w:rPr>
          <w:sz w:val="24"/>
          <w:szCs w:val="24"/>
        </w:rPr>
        <w:t xml:space="preserve">it dem Hinweis auf „Fehler“ </w:t>
      </w:r>
      <w:r w:rsidR="00C34042">
        <w:rPr>
          <w:sz w:val="24"/>
          <w:szCs w:val="24"/>
        </w:rPr>
        <w:t xml:space="preserve">der KP </w:t>
      </w:r>
      <w:r w:rsidR="002C2658">
        <w:rPr>
          <w:sz w:val="24"/>
          <w:szCs w:val="24"/>
        </w:rPr>
        <w:t xml:space="preserve">und </w:t>
      </w:r>
      <w:r w:rsidR="008E5974">
        <w:rPr>
          <w:sz w:val="24"/>
          <w:szCs w:val="24"/>
        </w:rPr>
        <w:t xml:space="preserve">damit </w:t>
      </w:r>
      <w:r w:rsidR="00C67D71">
        <w:rPr>
          <w:sz w:val="24"/>
          <w:szCs w:val="24"/>
        </w:rPr>
        <w:t>auf die</w:t>
      </w:r>
      <w:r w:rsidR="002C2658">
        <w:rPr>
          <w:sz w:val="24"/>
          <w:szCs w:val="24"/>
        </w:rPr>
        <w:t xml:space="preserve"> indirekte Verantwortung </w:t>
      </w:r>
      <w:r w:rsidR="00C67D71">
        <w:rPr>
          <w:sz w:val="24"/>
          <w:szCs w:val="24"/>
        </w:rPr>
        <w:t xml:space="preserve">der Arbeiterparteien </w:t>
      </w:r>
      <w:r w:rsidR="002C2658">
        <w:rPr>
          <w:sz w:val="24"/>
          <w:szCs w:val="24"/>
        </w:rPr>
        <w:t>für den Aufstieg de</w:t>
      </w:r>
      <w:r w:rsidR="00C67D71">
        <w:rPr>
          <w:sz w:val="24"/>
          <w:szCs w:val="24"/>
        </w:rPr>
        <w:t>s</w:t>
      </w:r>
      <w:r w:rsidR="002C2658">
        <w:rPr>
          <w:sz w:val="24"/>
          <w:szCs w:val="24"/>
        </w:rPr>
        <w:t xml:space="preserve"> Faschism</w:t>
      </w:r>
      <w:r w:rsidR="00C67D71">
        <w:rPr>
          <w:sz w:val="24"/>
          <w:szCs w:val="24"/>
        </w:rPr>
        <w:t>us</w:t>
      </w:r>
      <w:r w:rsidR="002C2658">
        <w:rPr>
          <w:sz w:val="24"/>
          <w:szCs w:val="24"/>
        </w:rPr>
        <w:t xml:space="preserve"> </w:t>
      </w:r>
      <w:r w:rsidR="00181150">
        <w:rPr>
          <w:sz w:val="24"/>
          <w:szCs w:val="24"/>
        </w:rPr>
        <w:t>wird</w:t>
      </w:r>
      <w:r w:rsidR="002C2658">
        <w:rPr>
          <w:sz w:val="24"/>
          <w:szCs w:val="24"/>
        </w:rPr>
        <w:t xml:space="preserve"> </w:t>
      </w:r>
      <w:proofErr w:type="spellStart"/>
      <w:r w:rsidR="002C2658">
        <w:rPr>
          <w:sz w:val="24"/>
          <w:szCs w:val="24"/>
        </w:rPr>
        <w:t>Marcu</w:t>
      </w:r>
      <w:proofErr w:type="spellEnd"/>
      <w:r w:rsidR="002C2658">
        <w:rPr>
          <w:sz w:val="24"/>
          <w:szCs w:val="24"/>
        </w:rPr>
        <w:t xml:space="preserve"> für die KPD </w:t>
      </w:r>
      <w:r w:rsidR="002C2658">
        <w:rPr>
          <w:sz w:val="24"/>
          <w:szCs w:val="24"/>
        </w:rPr>
        <w:lastRenderedPageBreak/>
        <w:t xml:space="preserve">endgültig zur Unperson. </w:t>
      </w:r>
      <w:r w:rsidR="00C67D71">
        <w:rPr>
          <w:sz w:val="24"/>
          <w:szCs w:val="24"/>
        </w:rPr>
        <w:t xml:space="preserve">Er </w:t>
      </w:r>
      <w:r w:rsidR="00480126">
        <w:rPr>
          <w:sz w:val="24"/>
          <w:szCs w:val="24"/>
        </w:rPr>
        <w:t>hat</w:t>
      </w:r>
      <w:r w:rsidR="00C67D71">
        <w:rPr>
          <w:sz w:val="24"/>
          <w:szCs w:val="24"/>
        </w:rPr>
        <w:t xml:space="preserve"> </w:t>
      </w:r>
      <w:r w:rsidR="00480126">
        <w:rPr>
          <w:sz w:val="24"/>
          <w:szCs w:val="24"/>
        </w:rPr>
        <w:t>„die Seite gewechselt“</w:t>
      </w:r>
      <w:r w:rsidR="00C67D71">
        <w:rPr>
          <w:sz w:val="24"/>
          <w:szCs w:val="24"/>
        </w:rPr>
        <w:t xml:space="preserve"> und </w:t>
      </w:r>
      <w:r w:rsidR="00181150">
        <w:rPr>
          <w:sz w:val="24"/>
          <w:szCs w:val="24"/>
        </w:rPr>
        <w:t xml:space="preserve">ist </w:t>
      </w:r>
      <w:r w:rsidR="00C67D71">
        <w:rPr>
          <w:sz w:val="24"/>
          <w:szCs w:val="24"/>
        </w:rPr>
        <w:t xml:space="preserve">zum politischen Gegner </w:t>
      </w:r>
      <w:r w:rsidR="00181150">
        <w:rPr>
          <w:sz w:val="24"/>
          <w:szCs w:val="24"/>
        </w:rPr>
        <w:t>übergelaufen</w:t>
      </w:r>
      <w:r w:rsidR="00480126">
        <w:rPr>
          <w:sz w:val="24"/>
          <w:szCs w:val="24"/>
        </w:rPr>
        <w:t>.</w:t>
      </w:r>
      <w:r w:rsidR="00860AAA">
        <w:rPr>
          <w:rStyle w:val="Funotenzeichen"/>
          <w:sz w:val="24"/>
          <w:szCs w:val="24"/>
        </w:rPr>
        <w:footnoteReference w:id="12"/>
      </w:r>
      <w:r w:rsidR="00C67D71">
        <w:rPr>
          <w:sz w:val="24"/>
          <w:szCs w:val="24"/>
        </w:rPr>
        <w:t xml:space="preserve"> </w:t>
      </w:r>
    </w:p>
    <w:p w:rsidR="00F320DB" w:rsidRDefault="00F320DB" w:rsidP="005F0DB1">
      <w:pPr>
        <w:spacing w:after="0"/>
        <w:rPr>
          <w:sz w:val="24"/>
          <w:szCs w:val="24"/>
        </w:rPr>
      </w:pPr>
    </w:p>
    <w:p w:rsidR="00BC4F95" w:rsidRDefault="00C67D71" w:rsidP="00C67D71">
      <w:pPr>
        <w:spacing w:after="0"/>
        <w:rPr>
          <w:sz w:val="24"/>
          <w:szCs w:val="24"/>
        </w:rPr>
      </w:pPr>
      <w:r>
        <w:rPr>
          <w:sz w:val="24"/>
          <w:szCs w:val="24"/>
        </w:rPr>
        <w:tab/>
      </w:r>
      <w:r w:rsidR="008E5974">
        <w:rPr>
          <w:sz w:val="24"/>
          <w:szCs w:val="24"/>
        </w:rPr>
        <w:t xml:space="preserve">Literarisch ist </w:t>
      </w:r>
      <w:r w:rsidR="00C34042">
        <w:rPr>
          <w:i/>
          <w:sz w:val="24"/>
          <w:szCs w:val="24"/>
        </w:rPr>
        <w:t>Die</w:t>
      </w:r>
      <w:r w:rsidR="00FF425F">
        <w:rPr>
          <w:sz w:val="24"/>
          <w:szCs w:val="24"/>
        </w:rPr>
        <w:t xml:space="preserve"> </w:t>
      </w:r>
      <w:r w:rsidR="00FF425F">
        <w:rPr>
          <w:i/>
          <w:sz w:val="24"/>
          <w:szCs w:val="24"/>
        </w:rPr>
        <w:t>Vertreibung der Juden aus Spanien</w:t>
      </w:r>
      <w:r>
        <w:rPr>
          <w:sz w:val="24"/>
          <w:szCs w:val="24"/>
        </w:rPr>
        <w:t xml:space="preserve"> ein überaus kunstfertiger Text, </w:t>
      </w:r>
      <w:r w:rsidR="00802722">
        <w:rPr>
          <w:sz w:val="24"/>
          <w:szCs w:val="24"/>
        </w:rPr>
        <w:t xml:space="preserve">eine </w:t>
      </w:r>
      <w:r w:rsidRPr="00C67D71">
        <w:rPr>
          <w:sz w:val="24"/>
          <w:szCs w:val="24"/>
        </w:rPr>
        <w:t>Mischung aus Traktat und histor</w:t>
      </w:r>
      <w:r w:rsidR="00802722">
        <w:rPr>
          <w:sz w:val="24"/>
          <w:szCs w:val="24"/>
        </w:rPr>
        <w:t>ischer</w:t>
      </w:r>
      <w:r w:rsidRPr="00C67D71">
        <w:rPr>
          <w:sz w:val="24"/>
          <w:szCs w:val="24"/>
        </w:rPr>
        <w:t xml:space="preserve"> Abhandlung</w:t>
      </w:r>
      <w:r w:rsidR="00802722">
        <w:rPr>
          <w:sz w:val="24"/>
          <w:szCs w:val="24"/>
        </w:rPr>
        <w:t>.</w:t>
      </w:r>
      <w:r w:rsidR="00802722" w:rsidRPr="00802722">
        <w:rPr>
          <w:sz w:val="24"/>
          <w:szCs w:val="24"/>
        </w:rPr>
        <w:t xml:space="preserve"> </w:t>
      </w:r>
      <w:r w:rsidR="00633E32">
        <w:rPr>
          <w:sz w:val="24"/>
          <w:szCs w:val="24"/>
        </w:rPr>
        <w:t xml:space="preserve">Ein Leser, der eine deskriptiv-analytische </w:t>
      </w:r>
      <w:r w:rsidR="00C34042">
        <w:rPr>
          <w:sz w:val="24"/>
          <w:szCs w:val="24"/>
        </w:rPr>
        <w:t xml:space="preserve">Darstellung </w:t>
      </w:r>
      <w:r w:rsidR="00633E32">
        <w:rPr>
          <w:sz w:val="24"/>
          <w:szCs w:val="24"/>
        </w:rPr>
        <w:t xml:space="preserve">erwartet, wird jedoch enttäuscht. </w:t>
      </w:r>
      <w:r w:rsidR="00C34042">
        <w:rPr>
          <w:sz w:val="24"/>
          <w:szCs w:val="24"/>
        </w:rPr>
        <w:t>Viel</w:t>
      </w:r>
      <w:r w:rsidR="00FF425F">
        <w:rPr>
          <w:sz w:val="24"/>
          <w:szCs w:val="24"/>
        </w:rPr>
        <w:t xml:space="preserve">e </w:t>
      </w:r>
      <w:r w:rsidR="003C297D">
        <w:rPr>
          <w:sz w:val="24"/>
          <w:szCs w:val="24"/>
        </w:rPr>
        <w:t>Details</w:t>
      </w:r>
      <w:r w:rsidR="00FF425F">
        <w:rPr>
          <w:sz w:val="24"/>
          <w:szCs w:val="24"/>
        </w:rPr>
        <w:t xml:space="preserve">, die </w:t>
      </w:r>
      <w:r w:rsidR="002667F8">
        <w:rPr>
          <w:sz w:val="24"/>
          <w:szCs w:val="24"/>
        </w:rPr>
        <w:t>aus der Sicht von</w:t>
      </w:r>
      <w:r w:rsidR="00FF425F">
        <w:rPr>
          <w:sz w:val="24"/>
          <w:szCs w:val="24"/>
        </w:rPr>
        <w:t xml:space="preserve"> Historiker</w:t>
      </w:r>
      <w:r w:rsidR="002667F8">
        <w:rPr>
          <w:sz w:val="24"/>
          <w:szCs w:val="24"/>
        </w:rPr>
        <w:t>n</w:t>
      </w:r>
      <w:r w:rsidR="00FF425F">
        <w:rPr>
          <w:sz w:val="24"/>
          <w:szCs w:val="24"/>
        </w:rPr>
        <w:t xml:space="preserve"> </w:t>
      </w:r>
      <w:r w:rsidR="00C34042">
        <w:rPr>
          <w:sz w:val="24"/>
          <w:szCs w:val="24"/>
        </w:rPr>
        <w:t>für d</w:t>
      </w:r>
      <w:r w:rsidR="003C297D">
        <w:rPr>
          <w:sz w:val="24"/>
          <w:szCs w:val="24"/>
        </w:rPr>
        <w:t>as Verständnis</w:t>
      </w:r>
      <w:r w:rsidR="00FF425F">
        <w:rPr>
          <w:sz w:val="24"/>
          <w:szCs w:val="24"/>
        </w:rPr>
        <w:t xml:space="preserve"> </w:t>
      </w:r>
      <w:r w:rsidR="00AC6B96">
        <w:rPr>
          <w:sz w:val="24"/>
          <w:szCs w:val="24"/>
        </w:rPr>
        <w:t xml:space="preserve">des Geschehens </w:t>
      </w:r>
      <w:r w:rsidR="00FF425F">
        <w:rPr>
          <w:sz w:val="24"/>
          <w:szCs w:val="24"/>
        </w:rPr>
        <w:t xml:space="preserve">mehr oder weniger unerlässlich sind, </w:t>
      </w:r>
      <w:r w:rsidR="00633E32">
        <w:rPr>
          <w:sz w:val="24"/>
          <w:szCs w:val="24"/>
        </w:rPr>
        <w:t>werden ausge</w:t>
      </w:r>
      <w:r w:rsidR="00C34042">
        <w:rPr>
          <w:sz w:val="24"/>
          <w:szCs w:val="24"/>
        </w:rPr>
        <w:t>blendet</w:t>
      </w:r>
      <w:r w:rsidR="00FF425F">
        <w:rPr>
          <w:sz w:val="24"/>
          <w:szCs w:val="24"/>
        </w:rPr>
        <w:t>.</w:t>
      </w:r>
      <w:r w:rsidR="00E442E1">
        <w:rPr>
          <w:rStyle w:val="Funotenzeichen"/>
          <w:sz w:val="24"/>
          <w:szCs w:val="24"/>
        </w:rPr>
        <w:footnoteReference w:id="13"/>
      </w:r>
      <w:r w:rsidR="00FF425F">
        <w:rPr>
          <w:sz w:val="24"/>
          <w:szCs w:val="24"/>
        </w:rPr>
        <w:t xml:space="preserve"> </w:t>
      </w:r>
      <w:proofErr w:type="spellStart"/>
      <w:r w:rsidR="00633E32">
        <w:rPr>
          <w:sz w:val="24"/>
          <w:szCs w:val="24"/>
        </w:rPr>
        <w:t>Marcu</w:t>
      </w:r>
      <w:proofErr w:type="spellEnd"/>
      <w:r w:rsidR="00C34042">
        <w:rPr>
          <w:sz w:val="24"/>
          <w:szCs w:val="24"/>
        </w:rPr>
        <w:t xml:space="preserve"> se</w:t>
      </w:r>
      <w:r w:rsidR="00FF425F">
        <w:rPr>
          <w:sz w:val="24"/>
          <w:szCs w:val="24"/>
        </w:rPr>
        <w:t xml:space="preserve">tzt </w:t>
      </w:r>
      <w:r w:rsidR="00BF6B7D">
        <w:rPr>
          <w:sz w:val="24"/>
          <w:szCs w:val="24"/>
        </w:rPr>
        <w:t xml:space="preserve">dafür </w:t>
      </w:r>
      <w:r w:rsidR="00802722">
        <w:rPr>
          <w:sz w:val="24"/>
          <w:szCs w:val="24"/>
        </w:rPr>
        <w:t xml:space="preserve">klare, zum Teil </w:t>
      </w:r>
      <w:r w:rsidR="00633E32">
        <w:rPr>
          <w:sz w:val="24"/>
          <w:szCs w:val="24"/>
        </w:rPr>
        <w:t xml:space="preserve">allerdings </w:t>
      </w:r>
      <w:r w:rsidR="00860AAA">
        <w:rPr>
          <w:sz w:val="24"/>
          <w:szCs w:val="24"/>
        </w:rPr>
        <w:t xml:space="preserve">ausgesprochen </w:t>
      </w:r>
      <w:r w:rsidR="00802722">
        <w:rPr>
          <w:sz w:val="24"/>
          <w:szCs w:val="24"/>
        </w:rPr>
        <w:t>eigenwillige Akzente</w:t>
      </w:r>
      <w:r w:rsidR="00FF425F">
        <w:rPr>
          <w:sz w:val="24"/>
          <w:szCs w:val="24"/>
        </w:rPr>
        <w:t xml:space="preserve">, </w:t>
      </w:r>
      <w:r w:rsidR="002667F8">
        <w:rPr>
          <w:sz w:val="24"/>
          <w:szCs w:val="24"/>
        </w:rPr>
        <w:t>so</w:t>
      </w:r>
      <w:r w:rsidR="00251C91" w:rsidRPr="00251C91">
        <w:rPr>
          <w:sz w:val="24"/>
          <w:szCs w:val="24"/>
        </w:rPr>
        <w:t xml:space="preserve"> </w:t>
      </w:r>
      <w:r w:rsidR="00251C91">
        <w:rPr>
          <w:sz w:val="24"/>
          <w:szCs w:val="24"/>
        </w:rPr>
        <w:t>z.</w:t>
      </w:r>
      <w:r w:rsidR="003749F0">
        <w:rPr>
          <w:sz w:val="24"/>
          <w:szCs w:val="24"/>
        </w:rPr>
        <w:t xml:space="preserve"> </w:t>
      </w:r>
      <w:r w:rsidR="00251C91">
        <w:rPr>
          <w:sz w:val="24"/>
          <w:szCs w:val="24"/>
        </w:rPr>
        <w:t>B.</w:t>
      </w:r>
      <w:r w:rsidR="002667F8">
        <w:rPr>
          <w:sz w:val="24"/>
          <w:szCs w:val="24"/>
        </w:rPr>
        <w:t>, wenn er kritisch den Blick auf die</w:t>
      </w:r>
      <w:r w:rsidR="00FF425F">
        <w:rPr>
          <w:sz w:val="24"/>
          <w:szCs w:val="24"/>
        </w:rPr>
        <w:t xml:space="preserve"> jüdische Religiosität, speziell </w:t>
      </w:r>
      <w:r w:rsidR="002667F8">
        <w:rPr>
          <w:sz w:val="24"/>
          <w:szCs w:val="24"/>
        </w:rPr>
        <w:t>auf die</w:t>
      </w:r>
      <w:r w:rsidR="00FF425F">
        <w:rPr>
          <w:sz w:val="24"/>
          <w:szCs w:val="24"/>
        </w:rPr>
        <w:t xml:space="preserve"> </w:t>
      </w:r>
      <w:r w:rsidR="00633E32">
        <w:rPr>
          <w:sz w:val="24"/>
          <w:szCs w:val="24"/>
        </w:rPr>
        <w:t>aus Marcus Sicht</w:t>
      </w:r>
      <w:r w:rsidR="00251C91">
        <w:rPr>
          <w:sz w:val="24"/>
          <w:szCs w:val="24"/>
        </w:rPr>
        <w:t xml:space="preserve"> verhängnisvolle </w:t>
      </w:r>
      <w:r w:rsidR="00FF425F">
        <w:rPr>
          <w:sz w:val="24"/>
          <w:szCs w:val="24"/>
        </w:rPr>
        <w:t xml:space="preserve">Rolle der </w:t>
      </w:r>
      <w:r w:rsidR="00633E32">
        <w:rPr>
          <w:sz w:val="24"/>
          <w:szCs w:val="24"/>
        </w:rPr>
        <w:t xml:space="preserve">jüdischen </w:t>
      </w:r>
      <w:r w:rsidR="00FF425F">
        <w:rPr>
          <w:sz w:val="24"/>
          <w:szCs w:val="24"/>
        </w:rPr>
        <w:t>Orthodoxie</w:t>
      </w:r>
      <w:r w:rsidR="002667F8">
        <w:rPr>
          <w:sz w:val="24"/>
          <w:szCs w:val="24"/>
        </w:rPr>
        <w:t xml:space="preserve"> lenk</w:t>
      </w:r>
      <w:r w:rsidR="00FF425F">
        <w:rPr>
          <w:sz w:val="24"/>
          <w:szCs w:val="24"/>
        </w:rPr>
        <w:t xml:space="preserve">t. </w:t>
      </w:r>
      <w:r w:rsidR="002667F8">
        <w:rPr>
          <w:sz w:val="24"/>
          <w:szCs w:val="24"/>
        </w:rPr>
        <w:t xml:space="preserve">Nicht der </w:t>
      </w:r>
      <w:r w:rsidR="00633E32">
        <w:rPr>
          <w:sz w:val="24"/>
          <w:szCs w:val="24"/>
        </w:rPr>
        <w:t xml:space="preserve">Ablauf des </w:t>
      </w:r>
      <w:r w:rsidR="003C297D">
        <w:rPr>
          <w:sz w:val="24"/>
          <w:szCs w:val="24"/>
        </w:rPr>
        <w:t>historische</w:t>
      </w:r>
      <w:r w:rsidR="00633E32">
        <w:rPr>
          <w:sz w:val="24"/>
          <w:szCs w:val="24"/>
        </w:rPr>
        <w:t xml:space="preserve">n Geschehens </w:t>
      </w:r>
      <w:r w:rsidR="002667F8">
        <w:rPr>
          <w:sz w:val="24"/>
          <w:szCs w:val="24"/>
        </w:rPr>
        <w:t xml:space="preserve">ist für </w:t>
      </w:r>
      <w:proofErr w:type="spellStart"/>
      <w:r w:rsidR="00FF425F">
        <w:rPr>
          <w:sz w:val="24"/>
          <w:szCs w:val="24"/>
        </w:rPr>
        <w:t>Marcu</w:t>
      </w:r>
      <w:proofErr w:type="spellEnd"/>
      <w:r w:rsidR="00FF425F">
        <w:rPr>
          <w:sz w:val="24"/>
          <w:szCs w:val="24"/>
        </w:rPr>
        <w:t xml:space="preserve"> </w:t>
      </w:r>
      <w:r w:rsidR="002667F8">
        <w:rPr>
          <w:sz w:val="24"/>
          <w:szCs w:val="24"/>
        </w:rPr>
        <w:t xml:space="preserve">von Interesse, sondern </w:t>
      </w:r>
      <w:r w:rsidR="002667F8" w:rsidRPr="00633E32">
        <w:rPr>
          <w:i/>
          <w:sz w:val="24"/>
          <w:szCs w:val="24"/>
        </w:rPr>
        <w:t xml:space="preserve">sein </w:t>
      </w:r>
      <w:r w:rsidR="00FF425F" w:rsidRPr="00633E32">
        <w:rPr>
          <w:i/>
          <w:sz w:val="24"/>
          <w:szCs w:val="24"/>
        </w:rPr>
        <w:t>Modellcharakter</w:t>
      </w:r>
      <w:r w:rsidR="002667F8" w:rsidRPr="00633E32">
        <w:rPr>
          <w:i/>
          <w:sz w:val="24"/>
          <w:szCs w:val="24"/>
        </w:rPr>
        <w:t>.</w:t>
      </w:r>
      <w:r w:rsidR="002667F8">
        <w:rPr>
          <w:sz w:val="24"/>
          <w:szCs w:val="24"/>
        </w:rPr>
        <w:t xml:space="preserve"> </w:t>
      </w:r>
      <w:r w:rsidR="00633E32">
        <w:rPr>
          <w:sz w:val="24"/>
          <w:szCs w:val="24"/>
        </w:rPr>
        <w:t>D</w:t>
      </w:r>
      <w:r w:rsidR="003C297D">
        <w:rPr>
          <w:sz w:val="24"/>
          <w:szCs w:val="24"/>
        </w:rPr>
        <w:t>ie</w:t>
      </w:r>
      <w:r w:rsidR="002667F8">
        <w:rPr>
          <w:sz w:val="24"/>
          <w:szCs w:val="24"/>
        </w:rPr>
        <w:t xml:space="preserve"> Vertreibung der Juden aus Spanien </w:t>
      </w:r>
      <w:r w:rsidR="00633E32">
        <w:rPr>
          <w:sz w:val="24"/>
          <w:szCs w:val="24"/>
        </w:rPr>
        <w:t>besitzt</w:t>
      </w:r>
      <w:r w:rsidR="003C297D">
        <w:rPr>
          <w:sz w:val="24"/>
          <w:szCs w:val="24"/>
        </w:rPr>
        <w:t xml:space="preserve">, so die Sicht </w:t>
      </w:r>
      <w:r w:rsidR="002667F8">
        <w:rPr>
          <w:sz w:val="24"/>
          <w:szCs w:val="24"/>
        </w:rPr>
        <w:t>Marcu</w:t>
      </w:r>
      <w:r w:rsidR="003C297D">
        <w:rPr>
          <w:sz w:val="24"/>
          <w:szCs w:val="24"/>
        </w:rPr>
        <w:t>s,</w:t>
      </w:r>
      <w:r w:rsidR="002667F8">
        <w:rPr>
          <w:sz w:val="24"/>
          <w:szCs w:val="24"/>
        </w:rPr>
        <w:t xml:space="preserve"> nicht </w:t>
      </w:r>
      <w:r w:rsidR="00BF6B7D">
        <w:rPr>
          <w:sz w:val="24"/>
          <w:szCs w:val="24"/>
        </w:rPr>
        <w:t>allein</w:t>
      </w:r>
      <w:r w:rsidR="00251C91">
        <w:rPr>
          <w:sz w:val="24"/>
          <w:szCs w:val="24"/>
        </w:rPr>
        <w:t xml:space="preserve"> </w:t>
      </w:r>
      <w:r w:rsidR="002B4962">
        <w:rPr>
          <w:sz w:val="24"/>
          <w:szCs w:val="24"/>
        </w:rPr>
        <w:t>aufgrund</w:t>
      </w:r>
      <w:r w:rsidR="002667F8">
        <w:rPr>
          <w:sz w:val="24"/>
          <w:szCs w:val="24"/>
        </w:rPr>
        <w:t xml:space="preserve"> </w:t>
      </w:r>
      <w:r w:rsidR="00BF6B7D">
        <w:rPr>
          <w:sz w:val="24"/>
          <w:szCs w:val="24"/>
        </w:rPr>
        <w:t>d</w:t>
      </w:r>
      <w:r w:rsidR="002667F8">
        <w:rPr>
          <w:sz w:val="24"/>
          <w:szCs w:val="24"/>
        </w:rPr>
        <w:t xml:space="preserve">er </w:t>
      </w:r>
      <w:r w:rsidR="00014D8B">
        <w:rPr>
          <w:sz w:val="24"/>
          <w:szCs w:val="24"/>
        </w:rPr>
        <w:t>immens</w:t>
      </w:r>
      <w:r w:rsidR="002667F8">
        <w:rPr>
          <w:sz w:val="24"/>
          <w:szCs w:val="24"/>
        </w:rPr>
        <w:t xml:space="preserve">en Tragik </w:t>
      </w:r>
      <w:r w:rsidR="00BF6B7D">
        <w:rPr>
          <w:sz w:val="24"/>
          <w:szCs w:val="24"/>
        </w:rPr>
        <w:t>Gewicht</w:t>
      </w:r>
      <w:r w:rsidR="002667F8">
        <w:rPr>
          <w:sz w:val="24"/>
          <w:szCs w:val="24"/>
        </w:rPr>
        <w:t xml:space="preserve">, sondern </w:t>
      </w:r>
      <w:r w:rsidR="003749F0">
        <w:rPr>
          <w:sz w:val="24"/>
          <w:szCs w:val="24"/>
        </w:rPr>
        <w:t>sie ist</w:t>
      </w:r>
      <w:r w:rsidR="002667F8">
        <w:rPr>
          <w:sz w:val="24"/>
          <w:szCs w:val="24"/>
        </w:rPr>
        <w:t xml:space="preserve"> ein</w:t>
      </w:r>
      <w:r w:rsidR="00073C0A">
        <w:rPr>
          <w:sz w:val="24"/>
          <w:szCs w:val="24"/>
        </w:rPr>
        <w:t xml:space="preserve"> </w:t>
      </w:r>
      <w:r w:rsidR="002667F8">
        <w:rPr>
          <w:sz w:val="24"/>
          <w:szCs w:val="24"/>
        </w:rPr>
        <w:t xml:space="preserve">Vorgang, der sich in </w:t>
      </w:r>
      <w:r w:rsidR="00860AAA">
        <w:rPr>
          <w:sz w:val="24"/>
          <w:szCs w:val="24"/>
        </w:rPr>
        <w:t>ähnlich</w:t>
      </w:r>
      <w:r w:rsidR="002667F8">
        <w:rPr>
          <w:sz w:val="24"/>
          <w:szCs w:val="24"/>
        </w:rPr>
        <w:t xml:space="preserve">er Form </w:t>
      </w:r>
      <w:r w:rsidR="002B4962">
        <w:rPr>
          <w:sz w:val="24"/>
          <w:szCs w:val="24"/>
        </w:rPr>
        <w:t xml:space="preserve">– </w:t>
      </w:r>
      <w:r w:rsidR="009C59F1">
        <w:rPr>
          <w:sz w:val="24"/>
          <w:szCs w:val="24"/>
        </w:rPr>
        <w:t xml:space="preserve">ob in seiner Gesamtheit </w:t>
      </w:r>
      <w:r w:rsidR="002B4962">
        <w:rPr>
          <w:sz w:val="24"/>
          <w:szCs w:val="24"/>
        </w:rPr>
        <w:t xml:space="preserve">oder </w:t>
      </w:r>
      <w:r w:rsidR="009C59F1">
        <w:rPr>
          <w:sz w:val="24"/>
          <w:szCs w:val="24"/>
        </w:rPr>
        <w:t xml:space="preserve">ob nur </w:t>
      </w:r>
      <w:r w:rsidR="002667F8">
        <w:rPr>
          <w:sz w:val="24"/>
          <w:szCs w:val="24"/>
        </w:rPr>
        <w:t>in Teilen</w:t>
      </w:r>
      <w:r w:rsidR="009C59F1">
        <w:rPr>
          <w:sz w:val="24"/>
          <w:szCs w:val="24"/>
        </w:rPr>
        <w:t xml:space="preserve">, ist </w:t>
      </w:r>
      <w:r w:rsidR="00BF6B7D">
        <w:rPr>
          <w:sz w:val="24"/>
          <w:szCs w:val="24"/>
        </w:rPr>
        <w:t xml:space="preserve">dabei </w:t>
      </w:r>
      <w:r w:rsidR="009C59F1">
        <w:rPr>
          <w:sz w:val="24"/>
          <w:szCs w:val="24"/>
        </w:rPr>
        <w:t>unerheblich</w:t>
      </w:r>
      <w:r w:rsidR="002667F8">
        <w:rPr>
          <w:sz w:val="24"/>
          <w:szCs w:val="24"/>
        </w:rPr>
        <w:t xml:space="preserve"> </w:t>
      </w:r>
      <w:r w:rsidR="002B4962">
        <w:rPr>
          <w:sz w:val="24"/>
          <w:szCs w:val="24"/>
        </w:rPr>
        <w:t xml:space="preserve">– </w:t>
      </w:r>
      <w:r w:rsidR="00860AAA">
        <w:rPr>
          <w:sz w:val="24"/>
          <w:szCs w:val="24"/>
        </w:rPr>
        <w:t>in der jüdischen G</w:t>
      </w:r>
      <w:r w:rsidR="002667F8">
        <w:rPr>
          <w:sz w:val="24"/>
          <w:szCs w:val="24"/>
        </w:rPr>
        <w:t>eschicht</w:t>
      </w:r>
      <w:r w:rsidR="00860AAA">
        <w:rPr>
          <w:sz w:val="24"/>
          <w:szCs w:val="24"/>
        </w:rPr>
        <w:t>e</w:t>
      </w:r>
      <w:r w:rsidR="002667F8">
        <w:rPr>
          <w:sz w:val="24"/>
          <w:szCs w:val="24"/>
        </w:rPr>
        <w:t xml:space="preserve"> </w:t>
      </w:r>
      <w:r w:rsidR="00144840">
        <w:rPr>
          <w:sz w:val="24"/>
          <w:szCs w:val="24"/>
        </w:rPr>
        <w:t xml:space="preserve">mehrfach ereignet hat, </w:t>
      </w:r>
      <w:r w:rsidR="002667F8">
        <w:rPr>
          <w:sz w:val="24"/>
          <w:szCs w:val="24"/>
        </w:rPr>
        <w:t xml:space="preserve">also die Möglichkeit einer Wiederholung </w:t>
      </w:r>
      <w:r w:rsidR="00073C0A" w:rsidRPr="00073C0A">
        <w:rPr>
          <w:i/>
          <w:sz w:val="24"/>
          <w:szCs w:val="24"/>
        </w:rPr>
        <w:t xml:space="preserve">auch </w:t>
      </w:r>
      <w:r w:rsidR="002667F8" w:rsidRPr="00BF6B7D">
        <w:rPr>
          <w:i/>
          <w:sz w:val="24"/>
          <w:szCs w:val="24"/>
        </w:rPr>
        <w:t>in der Gegenwart</w:t>
      </w:r>
      <w:r w:rsidR="00860AAA">
        <w:rPr>
          <w:sz w:val="24"/>
          <w:szCs w:val="24"/>
        </w:rPr>
        <w:t xml:space="preserve"> </w:t>
      </w:r>
      <w:r w:rsidR="002667F8">
        <w:rPr>
          <w:sz w:val="24"/>
          <w:szCs w:val="24"/>
        </w:rPr>
        <w:t>in sich birgt</w:t>
      </w:r>
      <w:r w:rsidR="00FF425F">
        <w:rPr>
          <w:sz w:val="24"/>
          <w:szCs w:val="24"/>
        </w:rPr>
        <w:t>.</w:t>
      </w:r>
      <w:r w:rsidR="009C59F1">
        <w:rPr>
          <w:rStyle w:val="Funotenzeichen"/>
          <w:sz w:val="24"/>
          <w:szCs w:val="24"/>
        </w:rPr>
        <w:footnoteReference w:id="14"/>
      </w:r>
      <w:r w:rsidR="00FF425F">
        <w:rPr>
          <w:sz w:val="24"/>
          <w:szCs w:val="24"/>
        </w:rPr>
        <w:t xml:space="preserve"> </w:t>
      </w:r>
      <w:r w:rsidR="00BF6B7D" w:rsidRPr="00860AAA">
        <w:rPr>
          <w:sz w:val="24"/>
          <w:szCs w:val="24"/>
        </w:rPr>
        <w:t xml:space="preserve">Im Kern konfrontiert </w:t>
      </w:r>
      <w:proofErr w:type="spellStart"/>
      <w:r w:rsidR="00BF6B7D" w:rsidRPr="00860AAA">
        <w:rPr>
          <w:sz w:val="24"/>
          <w:szCs w:val="24"/>
        </w:rPr>
        <w:t>Marcu</w:t>
      </w:r>
      <w:proofErr w:type="spellEnd"/>
      <w:r w:rsidR="00BF6B7D" w:rsidRPr="00860AAA">
        <w:rPr>
          <w:sz w:val="24"/>
          <w:szCs w:val="24"/>
        </w:rPr>
        <w:t xml:space="preserve"> seine Leser mit dem Modell einer archetypischen antijüdischen Aktion:</w:t>
      </w:r>
      <w:r w:rsidR="00BF6B7D">
        <w:rPr>
          <w:sz w:val="24"/>
          <w:szCs w:val="24"/>
        </w:rPr>
        <w:t xml:space="preserve"> der plötzlichen, unerwarteten Vertreibung einer seit Jahrhunderten ansässigen, sozial und wirtschaftlich in der Gesamtgesellschaft gut verankerten Minorität durch die Mehrheitsgesellschaft. </w:t>
      </w:r>
      <w:r w:rsidR="00073C0A">
        <w:rPr>
          <w:sz w:val="24"/>
          <w:szCs w:val="24"/>
        </w:rPr>
        <w:t>Marcus</w:t>
      </w:r>
      <w:r w:rsidR="00BF6B7D">
        <w:rPr>
          <w:sz w:val="24"/>
          <w:szCs w:val="24"/>
        </w:rPr>
        <w:t xml:space="preserve"> Buch wendet sich also </w:t>
      </w:r>
      <w:r w:rsidR="00073C0A">
        <w:rPr>
          <w:sz w:val="24"/>
          <w:szCs w:val="24"/>
        </w:rPr>
        <w:t xml:space="preserve">im Kern </w:t>
      </w:r>
      <w:r w:rsidR="00BF6B7D">
        <w:rPr>
          <w:sz w:val="24"/>
          <w:szCs w:val="24"/>
        </w:rPr>
        <w:t>an die jüdische Gemeinschaft</w:t>
      </w:r>
      <w:r w:rsidR="00073C0A">
        <w:rPr>
          <w:sz w:val="24"/>
          <w:szCs w:val="24"/>
        </w:rPr>
        <w:t>:</w:t>
      </w:r>
      <w:r w:rsidR="00BF6B7D">
        <w:rPr>
          <w:sz w:val="24"/>
          <w:szCs w:val="24"/>
        </w:rPr>
        <w:t xml:space="preserve"> in Europa, in den USA und in Palästina</w:t>
      </w:r>
      <w:r w:rsidR="00073C0A">
        <w:rPr>
          <w:sz w:val="24"/>
          <w:szCs w:val="24"/>
        </w:rPr>
        <w:t>.</w:t>
      </w:r>
      <w:r w:rsidR="00BF6B7D">
        <w:rPr>
          <w:sz w:val="24"/>
          <w:szCs w:val="24"/>
        </w:rPr>
        <w:t xml:space="preserve"> </w:t>
      </w:r>
      <w:r w:rsidR="00073C0A">
        <w:rPr>
          <w:sz w:val="24"/>
          <w:szCs w:val="24"/>
        </w:rPr>
        <w:t>Er</w:t>
      </w:r>
      <w:r w:rsidR="00BF6B7D">
        <w:rPr>
          <w:sz w:val="24"/>
          <w:szCs w:val="24"/>
        </w:rPr>
        <w:t xml:space="preserve"> fordert si</w:t>
      </w:r>
      <w:r w:rsidR="00073C0A">
        <w:rPr>
          <w:sz w:val="24"/>
          <w:szCs w:val="24"/>
        </w:rPr>
        <w:t>e</w:t>
      </w:r>
      <w:r w:rsidR="00BF6B7D">
        <w:rPr>
          <w:sz w:val="24"/>
          <w:szCs w:val="24"/>
        </w:rPr>
        <w:t xml:space="preserve"> zur Stellungnahme auf. </w:t>
      </w:r>
      <w:r w:rsidR="0008738F">
        <w:rPr>
          <w:sz w:val="24"/>
          <w:szCs w:val="24"/>
        </w:rPr>
        <w:t xml:space="preserve">Es ist Warnung vor einer Gefahr, die </w:t>
      </w:r>
      <w:r w:rsidR="00073C0A">
        <w:rPr>
          <w:sz w:val="24"/>
          <w:szCs w:val="24"/>
        </w:rPr>
        <w:t xml:space="preserve">von niemandem erwartet und </w:t>
      </w:r>
      <w:r w:rsidR="0008738F">
        <w:rPr>
          <w:sz w:val="24"/>
          <w:szCs w:val="24"/>
        </w:rPr>
        <w:t xml:space="preserve">in </w:t>
      </w:r>
      <w:r w:rsidR="00073C0A">
        <w:rPr>
          <w:sz w:val="24"/>
          <w:szCs w:val="24"/>
        </w:rPr>
        <w:t>ihr</w:t>
      </w:r>
      <w:r w:rsidR="0008738F">
        <w:rPr>
          <w:sz w:val="24"/>
          <w:szCs w:val="24"/>
        </w:rPr>
        <w:t xml:space="preserve">em Ausmaß </w:t>
      </w:r>
      <w:r w:rsidR="00073C0A">
        <w:rPr>
          <w:sz w:val="24"/>
          <w:szCs w:val="24"/>
        </w:rPr>
        <w:t>deshalb unterschätzt wird</w:t>
      </w:r>
      <w:r w:rsidR="0008738F">
        <w:rPr>
          <w:sz w:val="24"/>
          <w:szCs w:val="24"/>
        </w:rPr>
        <w:t>.</w:t>
      </w:r>
    </w:p>
    <w:p w:rsidR="00F4267D" w:rsidRDefault="00BC4F95" w:rsidP="00C67D71">
      <w:pPr>
        <w:spacing w:after="0"/>
        <w:rPr>
          <w:sz w:val="24"/>
          <w:szCs w:val="24"/>
        </w:rPr>
      </w:pPr>
      <w:r>
        <w:rPr>
          <w:sz w:val="24"/>
          <w:szCs w:val="24"/>
        </w:rPr>
        <w:tab/>
      </w:r>
      <w:r w:rsidR="009420D7">
        <w:rPr>
          <w:sz w:val="24"/>
          <w:szCs w:val="24"/>
        </w:rPr>
        <w:t xml:space="preserve">Was dem </w:t>
      </w:r>
      <w:r w:rsidR="003749F0">
        <w:rPr>
          <w:sz w:val="24"/>
          <w:szCs w:val="24"/>
        </w:rPr>
        <w:t xml:space="preserve">Buch </w:t>
      </w:r>
      <w:r w:rsidR="004B4FE0">
        <w:rPr>
          <w:sz w:val="24"/>
          <w:szCs w:val="24"/>
        </w:rPr>
        <w:t>besonder</w:t>
      </w:r>
      <w:r w:rsidR="00860AAA">
        <w:rPr>
          <w:sz w:val="24"/>
          <w:szCs w:val="24"/>
        </w:rPr>
        <w:t>e Brisanz</w:t>
      </w:r>
      <w:r w:rsidR="009420D7">
        <w:rPr>
          <w:sz w:val="24"/>
          <w:szCs w:val="24"/>
        </w:rPr>
        <w:t xml:space="preserve"> </w:t>
      </w:r>
      <w:r>
        <w:rPr>
          <w:sz w:val="24"/>
          <w:szCs w:val="24"/>
        </w:rPr>
        <w:t>verleih</w:t>
      </w:r>
      <w:r w:rsidR="009420D7">
        <w:rPr>
          <w:sz w:val="24"/>
          <w:szCs w:val="24"/>
        </w:rPr>
        <w:t xml:space="preserve">t, ist die </w:t>
      </w:r>
      <w:r w:rsidR="00FF425F">
        <w:rPr>
          <w:sz w:val="24"/>
          <w:szCs w:val="24"/>
        </w:rPr>
        <w:t xml:space="preserve">ideologische </w:t>
      </w:r>
      <w:r w:rsidR="00EB11B9">
        <w:rPr>
          <w:sz w:val="24"/>
          <w:szCs w:val="24"/>
        </w:rPr>
        <w:t>Basis</w:t>
      </w:r>
      <w:r w:rsidR="009420D7">
        <w:rPr>
          <w:sz w:val="24"/>
          <w:szCs w:val="24"/>
        </w:rPr>
        <w:t xml:space="preserve"> de</w:t>
      </w:r>
      <w:r w:rsidR="003749F0">
        <w:rPr>
          <w:sz w:val="24"/>
          <w:szCs w:val="24"/>
        </w:rPr>
        <w:t>s Vorgangs</w:t>
      </w:r>
      <w:r w:rsidR="004B4FE0">
        <w:rPr>
          <w:sz w:val="24"/>
          <w:szCs w:val="24"/>
        </w:rPr>
        <w:t>:</w:t>
      </w:r>
      <w:r w:rsidR="009420D7">
        <w:rPr>
          <w:sz w:val="24"/>
          <w:szCs w:val="24"/>
        </w:rPr>
        <w:t xml:space="preserve"> </w:t>
      </w:r>
      <w:r w:rsidR="00984D39">
        <w:rPr>
          <w:sz w:val="24"/>
          <w:szCs w:val="24"/>
        </w:rPr>
        <w:t xml:space="preserve">speziell </w:t>
      </w:r>
      <w:r w:rsidR="00EB11B9">
        <w:rPr>
          <w:sz w:val="24"/>
          <w:szCs w:val="24"/>
        </w:rPr>
        <w:t>de</w:t>
      </w:r>
      <w:r w:rsidR="00860AAA">
        <w:rPr>
          <w:sz w:val="24"/>
          <w:szCs w:val="24"/>
        </w:rPr>
        <w:t>r</w:t>
      </w:r>
      <w:r w:rsidR="00EB11B9">
        <w:rPr>
          <w:sz w:val="24"/>
          <w:szCs w:val="24"/>
        </w:rPr>
        <w:t xml:space="preserve"> </w:t>
      </w:r>
      <w:r w:rsidR="003749F0">
        <w:rPr>
          <w:sz w:val="24"/>
          <w:szCs w:val="24"/>
        </w:rPr>
        <w:t xml:space="preserve">für Spanien charakteristische </w:t>
      </w:r>
      <w:r w:rsidR="00FF425F">
        <w:rPr>
          <w:sz w:val="24"/>
          <w:szCs w:val="24"/>
        </w:rPr>
        <w:t xml:space="preserve">Mythos </w:t>
      </w:r>
      <w:r w:rsidR="004B4FE0">
        <w:rPr>
          <w:sz w:val="24"/>
          <w:szCs w:val="24"/>
        </w:rPr>
        <w:t>des „reinen Bluts“,</w:t>
      </w:r>
      <w:r w:rsidR="004B4FE0">
        <w:rPr>
          <w:rStyle w:val="Funotenzeichen"/>
          <w:sz w:val="24"/>
          <w:szCs w:val="24"/>
        </w:rPr>
        <w:footnoteReference w:id="15"/>
      </w:r>
      <w:r w:rsidR="004B4FE0">
        <w:rPr>
          <w:sz w:val="24"/>
          <w:szCs w:val="24"/>
        </w:rPr>
        <w:t xml:space="preserve"> </w:t>
      </w:r>
      <w:r w:rsidR="00FF425F">
        <w:rPr>
          <w:sz w:val="24"/>
          <w:szCs w:val="24"/>
        </w:rPr>
        <w:t>der „</w:t>
      </w:r>
      <w:proofErr w:type="spellStart"/>
      <w:r w:rsidR="00FF425F">
        <w:rPr>
          <w:sz w:val="24"/>
          <w:szCs w:val="24"/>
        </w:rPr>
        <w:t>limpezza</w:t>
      </w:r>
      <w:proofErr w:type="spellEnd"/>
      <w:r w:rsidR="00FF425F">
        <w:rPr>
          <w:sz w:val="24"/>
          <w:szCs w:val="24"/>
        </w:rPr>
        <w:t>“</w:t>
      </w:r>
      <w:r w:rsidR="004B4FE0">
        <w:rPr>
          <w:sz w:val="24"/>
          <w:szCs w:val="24"/>
        </w:rPr>
        <w:t>.</w:t>
      </w:r>
      <w:r w:rsidR="00FF425F">
        <w:rPr>
          <w:sz w:val="24"/>
          <w:szCs w:val="24"/>
        </w:rPr>
        <w:t xml:space="preserve"> </w:t>
      </w:r>
      <w:r w:rsidR="001F0249">
        <w:rPr>
          <w:sz w:val="24"/>
          <w:szCs w:val="24"/>
        </w:rPr>
        <w:t>Wie bei</w:t>
      </w:r>
      <w:r w:rsidR="003749F0">
        <w:rPr>
          <w:sz w:val="24"/>
          <w:szCs w:val="24"/>
        </w:rPr>
        <w:t xml:space="preserve"> de</w:t>
      </w:r>
      <w:r w:rsidR="001F0249">
        <w:rPr>
          <w:sz w:val="24"/>
          <w:szCs w:val="24"/>
        </w:rPr>
        <w:t xml:space="preserve">m </w:t>
      </w:r>
      <w:r w:rsidR="001F0249" w:rsidRPr="00984D39">
        <w:rPr>
          <w:sz w:val="24"/>
          <w:szCs w:val="24"/>
        </w:rPr>
        <w:t xml:space="preserve">nationalsozialistischen Antisemitismus handelt es sich </w:t>
      </w:r>
      <w:r w:rsidR="004B4FE0" w:rsidRPr="00984D39">
        <w:rPr>
          <w:sz w:val="24"/>
          <w:szCs w:val="24"/>
        </w:rPr>
        <w:t xml:space="preserve">hier </w:t>
      </w:r>
      <w:r w:rsidR="006C615E" w:rsidRPr="00984D39">
        <w:rPr>
          <w:sz w:val="24"/>
          <w:szCs w:val="24"/>
        </w:rPr>
        <w:t xml:space="preserve">um </w:t>
      </w:r>
      <w:r w:rsidRPr="00984D39">
        <w:rPr>
          <w:sz w:val="24"/>
          <w:szCs w:val="24"/>
        </w:rPr>
        <w:t>eine</w:t>
      </w:r>
      <w:r w:rsidR="001F0249" w:rsidRPr="00984D39">
        <w:rPr>
          <w:sz w:val="24"/>
          <w:szCs w:val="24"/>
        </w:rPr>
        <w:t>n</w:t>
      </w:r>
      <w:r w:rsidRPr="00984D39">
        <w:rPr>
          <w:sz w:val="24"/>
          <w:szCs w:val="24"/>
        </w:rPr>
        <w:t xml:space="preserve"> </w:t>
      </w:r>
      <w:r w:rsidR="009420D7" w:rsidRPr="00984D39">
        <w:rPr>
          <w:i/>
          <w:sz w:val="24"/>
          <w:szCs w:val="24"/>
        </w:rPr>
        <w:t>biologistisch</w:t>
      </w:r>
      <w:r w:rsidR="001F0249" w:rsidRPr="00984D39">
        <w:rPr>
          <w:sz w:val="24"/>
          <w:szCs w:val="24"/>
        </w:rPr>
        <w:t xml:space="preserve"> fundierten</w:t>
      </w:r>
      <w:r w:rsidR="009420D7" w:rsidRPr="00984D39">
        <w:rPr>
          <w:sz w:val="24"/>
          <w:szCs w:val="24"/>
        </w:rPr>
        <w:t xml:space="preserve"> </w:t>
      </w:r>
      <w:r w:rsidR="001F0249" w:rsidRPr="00984D39">
        <w:rPr>
          <w:sz w:val="24"/>
          <w:szCs w:val="24"/>
        </w:rPr>
        <w:t>A</w:t>
      </w:r>
      <w:r w:rsidR="009C59F1" w:rsidRPr="00984D39">
        <w:rPr>
          <w:sz w:val="24"/>
          <w:szCs w:val="24"/>
        </w:rPr>
        <w:t>ntisemitis</w:t>
      </w:r>
      <w:r w:rsidR="001F0249" w:rsidRPr="00984D39">
        <w:rPr>
          <w:sz w:val="24"/>
          <w:szCs w:val="24"/>
        </w:rPr>
        <w:t>mus</w:t>
      </w:r>
      <w:r w:rsidR="006C615E">
        <w:rPr>
          <w:sz w:val="24"/>
          <w:szCs w:val="24"/>
        </w:rPr>
        <w:t xml:space="preserve">, </w:t>
      </w:r>
      <w:r w:rsidR="00984D39">
        <w:rPr>
          <w:sz w:val="24"/>
          <w:szCs w:val="24"/>
        </w:rPr>
        <w:t xml:space="preserve">zudem </w:t>
      </w:r>
      <w:r w:rsidR="004B4FE0">
        <w:rPr>
          <w:sz w:val="24"/>
          <w:szCs w:val="24"/>
        </w:rPr>
        <w:t xml:space="preserve">um </w:t>
      </w:r>
      <w:r w:rsidR="006C615E">
        <w:rPr>
          <w:sz w:val="24"/>
          <w:szCs w:val="24"/>
        </w:rPr>
        <w:t>einen „Erlösungsantisemitismus“</w:t>
      </w:r>
      <w:r>
        <w:rPr>
          <w:sz w:val="24"/>
          <w:szCs w:val="24"/>
        </w:rPr>
        <w:t>.</w:t>
      </w:r>
      <w:r w:rsidR="006C615E">
        <w:rPr>
          <w:rStyle w:val="Funotenzeichen"/>
          <w:sz w:val="24"/>
          <w:szCs w:val="24"/>
        </w:rPr>
        <w:footnoteReference w:id="16"/>
      </w:r>
      <w:r>
        <w:rPr>
          <w:sz w:val="24"/>
          <w:szCs w:val="24"/>
        </w:rPr>
        <w:t xml:space="preserve"> Auch damit</w:t>
      </w:r>
      <w:r w:rsidR="009420D7">
        <w:rPr>
          <w:sz w:val="24"/>
          <w:szCs w:val="24"/>
        </w:rPr>
        <w:t xml:space="preserve"> </w:t>
      </w:r>
      <w:r w:rsidR="004B4FE0">
        <w:rPr>
          <w:sz w:val="24"/>
          <w:szCs w:val="24"/>
        </w:rPr>
        <w:t>ziel</w:t>
      </w:r>
      <w:r w:rsidR="009420D7">
        <w:rPr>
          <w:sz w:val="24"/>
          <w:szCs w:val="24"/>
        </w:rPr>
        <w:t xml:space="preserve">t </w:t>
      </w:r>
      <w:proofErr w:type="spellStart"/>
      <w:r>
        <w:rPr>
          <w:sz w:val="24"/>
          <w:szCs w:val="24"/>
        </w:rPr>
        <w:lastRenderedPageBreak/>
        <w:t>Marcu</w:t>
      </w:r>
      <w:proofErr w:type="spellEnd"/>
      <w:r>
        <w:rPr>
          <w:sz w:val="24"/>
          <w:szCs w:val="24"/>
        </w:rPr>
        <w:t xml:space="preserve"> </w:t>
      </w:r>
      <w:r w:rsidR="009420D7">
        <w:rPr>
          <w:sz w:val="24"/>
          <w:szCs w:val="24"/>
        </w:rPr>
        <w:t>auf die Gegenwart</w:t>
      </w:r>
      <w:r w:rsidR="001F0249">
        <w:rPr>
          <w:sz w:val="24"/>
          <w:szCs w:val="24"/>
        </w:rPr>
        <w:t>.</w:t>
      </w:r>
      <w:r w:rsidR="009420D7">
        <w:rPr>
          <w:sz w:val="24"/>
          <w:szCs w:val="24"/>
        </w:rPr>
        <w:t xml:space="preserve"> </w:t>
      </w:r>
      <w:r>
        <w:rPr>
          <w:sz w:val="24"/>
          <w:szCs w:val="24"/>
        </w:rPr>
        <w:t>Er</w:t>
      </w:r>
      <w:r w:rsidR="009420D7">
        <w:rPr>
          <w:sz w:val="24"/>
          <w:szCs w:val="24"/>
        </w:rPr>
        <w:t xml:space="preserve"> stellt nicht den religiösen Wahn und sein Instrumentarium</w:t>
      </w:r>
      <w:r w:rsidR="00984D39" w:rsidRPr="00984D39">
        <w:rPr>
          <w:sz w:val="24"/>
          <w:szCs w:val="24"/>
        </w:rPr>
        <w:t xml:space="preserve"> </w:t>
      </w:r>
      <w:r w:rsidR="00984D39">
        <w:rPr>
          <w:sz w:val="24"/>
          <w:szCs w:val="24"/>
        </w:rPr>
        <w:t>ins Zentrum</w:t>
      </w:r>
      <w:r w:rsidR="005309BA">
        <w:rPr>
          <w:sz w:val="24"/>
          <w:szCs w:val="24"/>
        </w:rPr>
        <w:t>:</w:t>
      </w:r>
      <w:r w:rsidR="009420D7">
        <w:rPr>
          <w:sz w:val="24"/>
          <w:szCs w:val="24"/>
        </w:rPr>
        <w:t xml:space="preserve"> die Inquisition, </w:t>
      </w:r>
      <w:r w:rsidR="005309BA">
        <w:rPr>
          <w:sz w:val="24"/>
          <w:szCs w:val="24"/>
        </w:rPr>
        <w:t>ebenso nicht d</w:t>
      </w:r>
      <w:r w:rsidR="003309BB">
        <w:rPr>
          <w:sz w:val="24"/>
          <w:szCs w:val="24"/>
        </w:rPr>
        <w:t xml:space="preserve">ie </w:t>
      </w:r>
      <w:r w:rsidR="00F4267D">
        <w:rPr>
          <w:sz w:val="24"/>
          <w:szCs w:val="24"/>
        </w:rPr>
        <w:t xml:space="preserve">politischen und </w:t>
      </w:r>
      <w:r w:rsidR="005309BA">
        <w:rPr>
          <w:sz w:val="24"/>
          <w:szCs w:val="24"/>
        </w:rPr>
        <w:t>finanzielle</w:t>
      </w:r>
      <w:r w:rsidR="00F4267D">
        <w:rPr>
          <w:sz w:val="24"/>
          <w:szCs w:val="24"/>
        </w:rPr>
        <w:t>n</w:t>
      </w:r>
      <w:r w:rsidR="003309BB">
        <w:rPr>
          <w:sz w:val="24"/>
          <w:szCs w:val="24"/>
        </w:rPr>
        <w:t xml:space="preserve"> </w:t>
      </w:r>
      <w:r>
        <w:rPr>
          <w:sz w:val="24"/>
          <w:szCs w:val="24"/>
        </w:rPr>
        <w:t>Interessen der</w:t>
      </w:r>
      <w:r w:rsidR="001F0249">
        <w:rPr>
          <w:sz w:val="24"/>
          <w:szCs w:val="24"/>
        </w:rPr>
        <w:t xml:space="preserve"> </w:t>
      </w:r>
      <w:r w:rsidR="00984D39">
        <w:rPr>
          <w:sz w:val="24"/>
          <w:szCs w:val="24"/>
        </w:rPr>
        <w:t>Monarchie, vertreten durch den König und die Königin,</w:t>
      </w:r>
      <w:r w:rsidR="001F0249">
        <w:rPr>
          <w:sz w:val="24"/>
          <w:szCs w:val="24"/>
        </w:rPr>
        <w:t xml:space="preserve"> </w:t>
      </w:r>
      <w:r w:rsidR="00984D39">
        <w:rPr>
          <w:sz w:val="24"/>
          <w:szCs w:val="24"/>
        </w:rPr>
        <w:t xml:space="preserve">sowie </w:t>
      </w:r>
      <w:r w:rsidR="00F4267D">
        <w:rPr>
          <w:sz w:val="24"/>
          <w:szCs w:val="24"/>
        </w:rPr>
        <w:t>de</w:t>
      </w:r>
      <w:r w:rsidR="00984D39">
        <w:rPr>
          <w:sz w:val="24"/>
          <w:szCs w:val="24"/>
        </w:rPr>
        <w:t>s</w:t>
      </w:r>
      <w:r w:rsidR="00F4267D">
        <w:rPr>
          <w:sz w:val="24"/>
          <w:szCs w:val="24"/>
        </w:rPr>
        <w:t xml:space="preserve"> spanischen </w:t>
      </w:r>
      <w:r w:rsidR="00984D39">
        <w:rPr>
          <w:sz w:val="24"/>
          <w:szCs w:val="24"/>
        </w:rPr>
        <w:t>Adels</w:t>
      </w:r>
      <w:r w:rsidR="00302186">
        <w:rPr>
          <w:sz w:val="24"/>
          <w:szCs w:val="24"/>
        </w:rPr>
        <w:t xml:space="preserve"> am Besitz der jüdischen Bevölkerungsgrup</w:t>
      </w:r>
      <w:r w:rsidR="00D12810">
        <w:rPr>
          <w:sz w:val="24"/>
          <w:szCs w:val="24"/>
        </w:rPr>
        <w:t>p</w:t>
      </w:r>
      <w:r w:rsidR="00302186">
        <w:rPr>
          <w:sz w:val="24"/>
          <w:szCs w:val="24"/>
        </w:rPr>
        <w:t>e</w:t>
      </w:r>
      <w:r w:rsidR="00984D39">
        <w:rPr>
          <w:sz w:val="24"/>
          <w:szCs w:val="24"/>
        </w:rPr>
        <w:t xml:space="preserve">. </w:t>
      </w:r>
      <w:r w:rsidRPr="00984D39">
        <w:rPr>
          <w:sz w:val="24"/>
          <w:szCs w:val="24"/>
        </w:rPr>
        <w:t>Im</w:t>
      </w:r>
      <w:r w:rsidR="005309BA" w:rsidRPr="00984D39">
        <w:rPr>
          <w:sz w:val="24"/>
          <w:szCs w:val="24"/>
        </w:rPr>
        <w:t xml:space="preserve"> </w:t>
      </w:r>
      <w:r w:rsidR="00302186">
        <w:rPr>
          <w:sz w:val="24"/>
          <w:szCs w:val="24"/>
        </w:rPr>
        <w:t>Mittelpunkt</w:t>
      </w:r>
      <w:r w:rsidRPr="00984D39">
        <w:rPr>
          <w:sz w:val="24"/>
          <w:szCs w:val="24"/>
        </w:rPr>
        <w:t xml:space="preserve"> steht vielmehr </w:t>
      </w:r>
      <w:r w:rsidR="005309BA" w:rsidRPr="00984D39">
        <w:rPr>
          <w:sz w:val="24"/>
          <w:szCs w:val="24"/>
        </w:rPr>
        <w:t>d</w:t>
      </w:r>
      <w:r w:rsidR="006C615E" w:rsidRPr="00984D39">
        <w:rPr>
          <w:sz w:val="24"/>
          <w:szCs w:val="24"/>
        </w:rPr>
        <w:t>ie</w:t>
      </w:r>
      <w:r w:rsidR="005309BA" w:rsidRPr="00984D39">
        <w:rPr>
          <w:sz w:val="24"/>
          <w:szCs w:val="24"/>
        </w:rPr>
        <w:t xml:space="preserve"> Macht </w:t>
      </w:r>
      <w:r w:rsidR="00F4267D" w:rsidRPr="00984D39">
        <w:rPr>
          <w:sz w:val="24"/>
          <w:szCs w:val="24"/>
        </w:rPr>
        <w:t>d</w:t>
      </w:r>
      <w:r w:rsidR="005309BA" w:rsidRPr="00984D39">
        <w:rPr>
          <w:sz w:val="24"/>
          <w:szCs w:val="24"/>
        </w:rPr>
        <w:t>e</w:t>
      </w:r>
      <w:r w:rsidR="006C615E" w:rsidRPr="00984D39">
        <w:rPr>
          <w:sz w:val="24"/>
          <w:szCs w:val="24"/>
        </w:rPr>
        <w:t>s</w:t>
      </w:r>
      <w:r w:rsidR="005309BA" w:rsidRPr="00984D39">
        <w:rPr>
          <w:sz w:val="24"/>
          <w:szCs w:val="24"/>
        </w:rPr>
        <w:t xml:space="preserve"> biologistisch</w:t>
      </w:r>
      <w:r w:rsidR="003309BB" w:rsidRPr="00984D39">
        <w:rPr>
          <w:sz w:val="24"/>
          <w:szCs w:val="24"/>
        </w:rPr>
        <w:t>-rassistisch</w:t>
      </w:r>
      <w:r w:rsidR="005309BA" w:rsidRPr="00984D39">
        <w:rPr>
          <w:sz w:val="24"/>
          <w:szCs w:val="24"/>
        </w:rPr>
        <w:t xml:space="preserve">en </w:t>
      </w:r>
      <w:r w:rsidR="006C615E" w:rsidRPr="00984D39">
        <w:rPr>
          <w:sz w:val="24"/>
          <w:szCs w:val="24"/>
        </w:rPr>
        <w:t>Mythos</w:t>
      </w:r>
      <w:r w:rsidR="005309BA" w:rsidRPr="00984D39">
        <w:rPr>
          <w:sz w:val="24"/>
          <w:szCs w:val="24"/>
        </w:rPr>
        <w:t>.</w:t>
      </w:r>
      <w:r w:rsidR="005309BA">
        <w:rPr>
          <w:sz w:val="24"/>
          <w:szCs w:val="24"/>
        </w:rPr>
        <w:t xml:space="preserve"> </w:t>
      </w:r>
      <w:r w:rsidR="00F4267D">
        <w:rPr>
          <w:sz w:val="24"/>
          <w:szCs w:val="24"/>
        </w:rPr>
        <w:t>Grundlage d</w:t>
      </w:r>
      <w:r w:rsidR="00984D39">
        <w:rPr>
          <w:sz w:val="24"/>
          <w:szCs w:val="24"/>
        </w:rPr>
        <w:t>ies</w:t>
      </w:r>
      <w:r w:rsidR="00F4267D">
        <w:rPr>
          <w:sz w:val="24"/>
          <w:szCs w:val="24"/>
        </w:rPr>
        <w:t>es Antijudaismus ist die für das Spanien des 15. Jahrhunderts charakteristische Religiosität.</w:t>
      </w:r>
    </w:p>
    <w:p w:rsidR="009420D7" w:rsidRDefault="00F4267D" w:rsidP="00C67D71">
      <w:pPr>
        <w:spacing w:after="0"/>
        <w:rPr>
          <w:sz w:val="24"/>
          <w:szCs w:val="24"/>
        </w:rPr>
      </w:pPr>
      <w:r>
        <w:rPr>
          <w:sz w:val="24"/>
          <w:szCs w:val="24"/>
        </w:rPr>
        <w:tab/>
        <w:t>Aus den</w:t>
      </w:r>
      <w:r w:rsidR="00984D39">
        <w:rPr>
          <w:sz w:val="24"/>
          <w:szCs w:val="24"/>
        </w:rPr>
        <w:t xml:space="preserve"> gleiche</w:t>
      </w:r>
      <w:r>
        <w:rPr>
          <w:sz w:val="24"/>
          <w:szCs w:val="24"/>
        </w:rPr>
        <w:t>n Motiven weist</w:t>
      </w:r>
      <w:r w:rsidR="005309BA">
        <w:rPr>
          <w:sz w:val="24"/>
          <w:szCs w:val="24"/>
        </w:rPr>
        <w:t xml:space="preserve"> </w:t>
      </w:r>
      <w:proofErr w:type="spellStart"/>
      <w:r w:rsidR="00BC4F95">
        <w:rPr>
          <w:sz w:val="24"/>
          <w:szCs w:val="24"/>
        </w:rPr>
        <w:t>Marcu</w:t>
      </w:r>
      <w:proofErr w:type="spellEnd"/>
      <w:r w:rsidR="005309BA">
        <w:rPr>
          <w:sz w:val="24"/>
          <w:szCs w:val="24"/>
        </w:rPr>
        <w:t xml:space="preserve"> </w:t>
      </w:r>
      <w:r>
        <w:rPr>
          <w:sz w:val="24"/>
          <w:szCs w:val="24"/>
        </w:rPr>
        <w:t>auch dem Exodus, dem</w:t>
      </w:r>
      <w:r w:rsidR="005309BA">
        <w:rPr>
          <w:sz w:val="24"/>
          <w:szCs w:val="24"/>
        </w:rPr>
        <w:t xml:space="preserve"> „Exil“</w:t>
      </w:r>
      <w:r w:rsidR="0008738F">
        <w:rPr>
          <w:sz w:val="24"/>
          <w:szCs w:val="24"/>
        </w:rPr>
        <w:t xml:space="preserve">, </w:t>
      </w:r>
      <w:r w:rsidR="000E6B3D">
        <w:rPr>
          <w:sz w:val="24"/>
          <w:szCs w:val="24"/>
        </w:rPr>
        <w:t>eine nachgeordnete Bedeutung zu</w:t>
      </w:r>
      <w:r w:rsidR="00BC4F95">
        <w:rPr>
          <w:sz w:val="24"/>
          <w:szCs w:val="24"/>
        </w:rPr>
        <w:t xml:space="preserve">. </w:t>
      </w:r>
      <w:r w:rsidR="001F0249">
        <w:rPr>
          <w:sz w:val="24"/>
          <w:szCs w:val="24"/>
        </w:rPr>
        <w:t>Der Auszug der Juden aus Spanien</w:t>
      </w:r>
      <w:r w:rsidR="00BC4F95">
        <w:rPr>
          <w:sz w:val="24"/>
          <w:szCs w:val="24"/>
        </w:rPr>
        <w:t xml:space="preserve"> ist ein zwar </w:t>
      </w:r>
      <w:r w:rsidR="000E6B3D">
        <w:rPr>
          <w:sz w:val="24"/>
          <w:szCs w:val="24"/>
        </w:rPr>
        <w:t xml:space="preserve">ein wichtiger, </w:t>
      </w:r>
      <w:r w:rsidR="00BC4F95">
        <w:rPr>
          <w:sz w:val="24"/>
          <w:szCs w:val="24"/>
        </w:rPr>
        <w:t>nachdrücklich</w:t>
      </w:r>
      <w:r w:rsidR="005309BA">
        <w:rPr>
          <w:sz w:val="24"/>
          <w:szCs w:val="24"/>
        </w:rPr>
        <w:t xml:space="preserve"> </w:t>
      </w:r>
      <w:r w:rsidR="006063C4">
        <w:rPr>
          <w:sz w:val="24"/>
          <w:szCs w:val="24"/>
        </w:rPr>
        <w:t>und einprägsam dargestellte</w:t>
      </w:r>
      <w:r w:rsidR="001F0249">
        <w:rPr>
          <w:sz w:val="24"/>
          <w:szCs w:val="24"/>
        </w:rPr>
        <w:t>r</w:t>
      </w:r>
      <w:r w:rsidR="006063C4">
        <w:rPr>
          <w:sz w:val="24"/>
          <w:szCs w:val="24"/>
        </w:rPr>
        <w:t xml:space="preserve"> </w:t>
      </w:r>
      <w:r w:rsidR="0008738F">
        <w:rPr>
          <w:sz w:val="24"/>
          <w:szCs w:val="24"/>
        </w:rPr>
        <w:t>A</w:t>
      </w:r>
      <w:r w:rsidR="001F0249">
        <w:rPr>
          <w:sz w:val="24"/>
          <w:szCs w:val="24"/>
        </w:rPr>
        <w:t>bschnitt der Darstellung</w:t>
      </w:r>
      <w:r w:rsidR="006063C4">
        <w:rPr>
          <w:sz w:val="24"/>
          <w:szCs w:val="24"/>
        </w:rPr>
        <w:t xml:space="preserve">, </w:t>
      </w:r>
      <w:r w:rsidR="0008738F">
        <w:rPr>
          <w:sz w:val="24"/>
          <w:szCs w:val="24"/>
        </w:rPr>
        <w:t xml:space="preserve">der bewegende Momente enthält – so z.B., wenn </w:t>
      </w:r>
      <w:proofErr w:type="spellStart"/>
      <w:r w:rsidR="000E6B3D">
        <w:rPr>
          <w:sz w:val="24"/>
          <w:szCs w:val="24"/>
        </w:rPr>
        <w:t>Marcu</w:t>
      </w:r>
      <w:proofErr w:type="spellEnd"/>
      <w:r w:rsidR="000E6B3D">
        <w:rPr>
          <w:sz w:val="24"/>
          <w:szCs w:val="24"/>
        </w:rPr>
        <w:t xml:space="preserve"> schildert, wie </w:t>
      </w:r>
      <w:r w:rsidR="0008738F">
        <w:rPr>
          <w:sz w:val="24"/>
          <w:szCs w:val="24"/>
        </w:rPr>
        <w:t>die Juden, bevor sie ihre Heimat verlassen, noch einmal „Abschied von den Friedhöfen“, also von ihren Vorfahren, nehmen</w:t>
      </w:r>
      <w:r w:rsidR="000E6B3D">
        <w:rPr>
          <w:sz w:val="24"/>
          <w:szCs w:val="24"/>
        </w:rPr>
        <w:t>.</w:t>
      </w:r>
      <w:r w:rsidR="0008738F">
        <w:rPr>
          <w:rStyle w:val="Funotenzeichen"/>
          <w:sz w:val="24"/>
          <w:szCs w:val="24"/>
        </w:rPr>
        <w:footnoteReference w:id="17"/>
      </w:r>
      <w:r w:rsidR="0008738F">
        <w:rPr>
          <w:sz w:val="24"/>
          <w:szCs w:val="24"/>
        </w:rPr>
        <w:t xml:space="preserve"> </w:t>
      </w:r>
      <w:r w:rsidR="000E6B3D">
        <w:rPr>
          <w:sz w:val="24"/>
          <w:szCs w:val="24"/>
        </w:rPr>
        <w:t>Er ist</w:t>
      </w:r>
      <w:r w:rsidR="00B8509C">
        <w:rPr>
          <w:sz w:val="24"/>
          <w:szCs w:val="24"/>
        </w:rPr>
        <w:t xml:space="preserve"> </w:t>
      </w:r>
      <w:r w:rsidR="0008738F">
        <w:rPr>
          <w:sz w:val="24"/>
          <w:szCs w:val="24"/>
        </w:rPr>
        <w:t xml:space="preserve">insgesamt </w:t>
      </w:r>
      <w:r w:rsidR="00B8509C">
        <w:rPr>
          <w:sz w:val="24"/>
          <w:szCs w:val="24"/>
        </w:rPr>
        <w:t>jedoch</w:t>
      </w:r>
      <w:r w:rsidR="006063C4">
        <w:rPr>
          <w:sz w:val="24"/>
          <w:szCs w:val="24"/>
        </w:rPr>
        <w:t xml:space="preserve"> </w:t>
      </w:r>
      <w:r w:rsidR="00984D39">
        <w:rPr>
          <w:sz w:val="24"/>
          <w:szCs w:val="24"/>
        </w:rPr>
        <w:t xml:space="preserve">nur </w:t>
      </w:r>
      <w:r w:rsidR="006063C4">
        <w:rPr>
          <w:sz w:val="24"/>
          <w:szCs w:val="24"/>
        </w:rPr>
        <w:t xml:space="preserve">ein </w:t>
      </w:r>
      <w:r w:rsidR="000E6B3D">
        <w:rPr>
          <w:sz w:val="24"/>
          <w:szCs w:val="24"/>
        </w:rPr>
        <w:t>Teila</w:t>
      </w:r>
      <w:r w:rsidR="006063C4">
        <w:rPr>
          <w:sz w:val="24"/>
          <w:szCs w:val="24"/>
        </w:rPr>
        <w:t>spekt</w:t>
      </w:r>
      <w:r w:rsidR="000E6B3D">
        <w:rPr>
          <w:sz w:val="24"/>
          <w:szCs w:val="24"/>
        </w:rPr>
        <w:t xml:space="preserve"> neben anderen</w:t>
      </w:r>
      <w:r w:rsidR="006063C4">
        <w:rPr>
          <w:sz w:val="24"/>
          <w:szCs w:val="24"/>
        </w:rPr>
        <w:t xml:space="preserve">. </w:t>
      </w:r>
      <w:r w:rsidR="00197A5F">
        <w:rPr>
          <w:sz w:val="24"/>
          <w:szCs w:val="24"/>
        </w:rPr>
        <w:t>W</w:t>
      </w:r>
      <w:r w:rsidR="000E6B3D">
        <w:rPr>
          <w:sz w:val="24"/>
          <w:szCs w:val="24"/>
        </w:rPr>
        <w:t>eit w</w:t>
      </w:r>
      <w:r w:rsidR="00197A5F">
        <w:rPr>
          <w:sz w:val="24"/>
          <w:szCs w:val="24"/>
        </w:rPr>
        <w:t>ichtig</w:t>
      </w:r>
      <w:r w:rsidR="001F0249">
        <w:rPr>
          <w:sz w:val="24"/>
          <w:szCs w:val="24"/>
        </w:rPr>
        <w:t>er</w:t>
      </w:r>
      <w:r w:rsidR="006063C4">
        <w:rPr>
          <w:sz w:val="24"/>
          <w:szCs w:val="24"/>
        </w:rPr>
        <w:t xml:space="preserve"> ist für </w:t>
      </w:r>
      <w:proofErr w:type="spellStart"/>
      <w:r w:rsidR="006063C4">
        <w:rPr>
          <w:sz w:val="24"/>
          <w:szCs w:val="24"/>
        </w:rPr>
        <w:t>Marcu</w:t>
      </w:r>
      <w:proofErr w:type="spellEnd"/>
      <w:r w:rsidR="00B8509C">
        <w:rPr>
          <w:sz w:val="24"/>
          <w:szCs w:val="24"/>
        </w:rPr>
        <w:t xml:space="preserve">, dass </w:t>
      </w:r>
      <w:r w:rsidR="000E6B3D">
        <w:rPr>
          <w:sz w:val="24"/>
          <w:szCs w:val="24"/>
        </w:rPr>
        <w:t xml:space="preserve">es sich bei dem Geschehen nicht um einen Pogrom, also um einen </w:t>
      </w:r>
      <w:r w:rsidR="005652C5" w:rsidRPr="00B11249">
        <w:rPr>
          <w:sz w:val="24"/>
          <w:szCs w:val="24"/>
        </w:rPr>
        <w:t>spontane</w:t>
      </w:r>
      <w:r w:rsidR="005652C5">
        <w:rPr>
          <w:sz w:val="24"/>
          <w:szCs w:val="24"/>
        </w:rPr>
        <w:t xml:space="preserve">n </w:t>
      </w:r>
      <w:r w:rsidR="000E6B3D">
        <w:rPr>
          <w:sz w:val="24"/>
          <w:szCs w:val="24"/>
        </w:rPr>
        <w:t>Ausbruch antijüdischer Aggression handelt</w:t>
      </w:r>
      <w:r w:rsidR="00B11249">
        <w:rPr>
          <w:sz w:val="24"/>
          <w:szCs w:val="24"/>
        </w:rPr>
        <w:t>: einen Gesetzesbruch,</w:t>
      </w:r>
      <w:r w:rsidR="00B8509C">
        <w:rPr>
          <w:sz w:val="24"/>
          <w:szCs w:val="24"/>
        </w:rPr>
        <w:t xml:space="preserve"> </w:t>
      </w:r>
      <w:r w:rsidR="000E6B3D">
        <w:rPr>
          <w:sz w:val="24"/>
          <w:szCs w:val="24"/>
        </w:rPr>
        <w:t xml:space="preserve">sondern </w:t>
      </w:r>
      <w:r w:rsidR="00984D39">
        <w:rPr>
          <w:sz w:val="24"/>
          <w:szCs w:val="24"/>
        </w:rPr>
        <w:t>um einen</w:t>
      </w:r>
      <w:r w:rsidR="000E6B3D">
        <w:rPr>
          <w:sz w:val="24"/>
          <w:szCs w:val="24"/>
        </w:rPr>
        <w:t xml:space="preserve"> </w:t>
      </w:r>
      <w:r w:rsidR="00B8509C">
        <w:rPr>
          <w:sz w:val="24"/>
          <w:szCs w:val="24"/>
        </w:rPr>
        <w:t>Vorgang</w:t>
      </w:r>
      <w:r w:rsidR="00984D39">
        <w:rPr>
          <w:sz w:val="24"/>
          <w:szCs w:val="24"/>
        </w:rPr>
        <w:t>, der</w:t>
      </w:r>
      <w:r w:rsidR="00B8509C">
        <w:rPr>
          <w:sz w:val="24"/>
          <w:szCs w:val="24"/>
        </w:rPr>
        <w:t xml:space="preserve"> </w:t>
      </w:r>
      <w:r w:rsidR="006063C4">
        <w:rPr>
          <w:sz w:val="24"/>
          <w:szCs w:val="24"/>
        </w:rPr>
        <w:t xml:space="preserve">durch </w:t>
      </w:r>
      <w:r w:rsidR="00B8509C">
        <w:rPr>
          <w:sz w:val="24"/>
          <w:szCs w:val="24"/>
        </w:rPr>
        <w:t>Verordnun</w:t>
      </w:r>
      <w:r w:rsidR="001F0249">
        <w:rPr>
          <w:sz w:val="24"/>
          <w:szCs w:val="24"/>
        </w:rPr>
        <w:t xml:space="preserve">gen </w:t>
      </w:r>
      <w:r w:rsidR="006063C4">
        <w:rPr>
          <w:sz w:val="24"/>
          <w:szCs w:val="24"/>
        </w:rPr>
        <w:t xml:space="preserve">und </w:t>
      </w:r>
      <w:r w:rsidR="001F0249">
        <w:rPr>
          <w:sz w:val="24"/>
          <w:szCs w:val="24"/>
        </w:rPr>
        <w:t xml:space="preserve">Dekrete </w:t>
      </w:r>
      <w:r w:rsidR="00B8509C">
        <w:rPr>
          <w:sz w:val="24"/>
          <w:szCs w:val="24"/>
        </w:rPr>
        <w:t xml:space="preserve">bis in alle Einzelheiten </w:t>
      </w:r>
      <w:r w:rsidR="000E6B3D" w:rsidRPr="001F0249">
        <w:rPr>
          <w:sz w:val="24"/>
          <w:szCs w:val="24"/>
        </w:rPr>
        <w:t>juristisch</w:t>
      </w:r>
      <w:r w:rsidR="000E6B3D">
        <w:rPr>
          <w:sz w:val="24"/>
          <w:szCs w:val="24"/>
        </w:rPr>
        <w:t xml:space="preserve"> </w:t>
      </w:r>
      <w:r w:rsidR="00B8509C">
        <w:rPr>
          <w:sz w:val="24"/>
          <w:szCs w:val="24"/>
        </w:rPr>
        <w:t>abgesichert ist</w:t>
      </w:r>
      <w:r w:rsidR="00B11249">
        <w:rPr>
          <w:sz w:val="24"/>
          <w:szCs w:val="24"/>
        </w:rPr>
        <w:t>:</w:t>
      </w:r>
      <w:r w:rsidR="00B8509C">
        <w:rPr>
          <w:sz w:val="24"/>
          <w:szCs w:val="24"/>
        </w:rPr>
        <w:t xml:space="preserve"> </w:t>
      </w:r>
      <w:r w:rsidR="00B11249">
        <w:rPr>
          <w:i/>
          <w:sz w:val="24"/>
          <w:szCs w:val="24"/>
        </w:rPr>
        <w:t>um</w:t>
      </w:r>
      <w:r w:rsidR="00B8509C" w:rsidRPr="00B8509C">
        <w:rPr>
          <w:i/>
          <w:sz w:val="24"/>
          <w:szCs w:val="24"/>
        </w:rPr>
        <w:t xml:space="preserve"> eine </w:t>
      </w:r>
      <w:r w:rsidR="005652C5">
        <w:rPr>
          <w:i/>
          <w:sz w:val="24"/>
          <w:szCs w:val="24"/>
        </w:rPr>
        <w:t>per G</w:t>
      </w:r>
      <w:r w:rsidR="000E6B3D">
        <w:rPr>
          <w:i/>
          <w:sz w:val="24"/>
          <w:szCs w:val="24"/>
        </w:rPr>
        <w:t xml:space="preserve">esetz geregelte, </w:t>
      </w:r>
      <w:r w:rsidR="009A4BA4" w:rsidRPr="00B8509C">
        <w:rPr>
          <w:i/>
          <w:sz w:val="24"/>
          <w:szCs w:val="24"/>
        </w:rPr>
        <w:t>staatliche organisierte</w:t>
      </w:r>
      <w:r w:rsidR="00B8509C" w:rsidRPr="00B8509C">
        <w:rPr>
          <w:i/>
          <w:sz w:val="24"/>
          <w:szCs w:val="24"/>
        </w:rPr>
        <w:t xml:space="preserve"> </w:t>
      </w:r>
      <w:r w:rsidR="00B8509C">
        <w:rPr>
          <w:i/>
          <w:sz w:val="24"/>
          <w:szCs w:val="24"/>
        </w:rPr>
        <w:t>Maßnahme</w:t>
      </w:r>
      <w:r w:rsidR="00302186">
        <w:rPr>
          <w:sz w:val="24"/>
          <w:szCs w:val="24"/>
        </w:rPr>
        <w:t>, also</w:t>
      </w:r>
      <w:r w:rsidR="00B11249">
        <w:rPr>
          <w:i/>
          <w:sz w:val="24"/>
          <w:szCs w:val="24"/>
        </w:rPr>
        <w:t xml:space="preserve"> </w:t>
      </w:r>
      <w:r w:rsidR="00B11249" w:rsidRPr="005652C5">
        <w:rPr>
          <w:sz w:val="24"/>
          <w:szCs w:val="24"/>
        </w:rPr>
        <w:t>u</w:t>
      </w:r>
      <w:r w:rsidR="00B11249">
        <w:rPr>
          <w:sz w:val="24"/>
          <w:szCs w:val="24"/>
        </w:rPr>
        <w:t>m eine zumindest dem äußeren Anschein nach „legale“ Aktion</w:t>
      </w:r>
      <w:r w:rsidR="005309BA">
        <w:rPr>
          <w:sz w:val="24"/>
          <w:szCs w:val="24"/>
        </w:rPr>
        <w:t>.</w:t>
      </w:r>
      <w:r w:rsidR="003309BB">
        <w:rPr>
          <w:sz w:val="24"/>
          <w:szCs w:val="24"/>
        </w:rPr>
        <w:t xml:space="preserve"> </w:t>
      </w:r>
      <w:r w:rsidR="006063C4">
        <w:rPr>
          <w:sz w:val="24"/>
          <w:szCs w:val="24"/>
        </w:rPr>
        <w:t>– M</w:t>
      </w:r>
      <w:r w:rsidR="003309BB">
        <w:rPr>
          <w:sz w:val="24"/>
          <w:szCs w:val="24"/>
        </w:rPr>
        <w:t xml:space="preserve">it dieser radikalen Fokussierung </w:t>
      </w:r>
      <w:r w:rsidR="003309BB" w:rsidRPr="00B11249">
        <w:rPr>
          <w:i/>
          <w:sz w:val="24"/>
          <w:szCs w:val="24"/>
        </w:rPr>
        <w:t xml:space="preserve">auf </w:t>
      </w:r>
      <w:r w:rsidR="00B8509C" w:rsidRPr="00B11249">
        <w:rPr>
          <w:i/>
          <w:sz w:val="24"/>
          <w:szCs w:val="24"/>
        </w:rPr>
        <w:t>den</w:t>
      </w:r>
      <w:r w:rsidR="00B8509C">
        <w:rPr>
          <w:sz w:val="24"/>
          <w:szCs w:val="24"/>
        </w:rPr>
        <w:t xml:space="preserve"> </w:t>
      </w:r>
      <w:r w:rsidR="00B8509C" w:rsidRPr="00B9596E">
        <w:rPr>
          <w:i/>
          <w:sz w:val="24"/>
          <w:szCs w:val="24"/>
        </w:rPr>
        <w:t>Staat</w:t>
      </w:r>
      <w:r w:rsidR="00B8509C">
        <w:rPr>
          <w:sz w:val="24"/>
          <w:szCs w:val="24"/>
        </w:rPr>
        <w:t xml:space="preserve"> als den ‚legalen‘ Vorstrecker des Rassismus </w:t>
      </w:r>
      <w:r w:rsidR="003309BB">
        <w:rPr>
          <w:sz w:val="24"/>
          <w:szCs w:val="24"/>
        </w:rPr>
        <w:t xml:space="preserve">steht </w:t>
      </w:r>
      <w:proofErr w:type="spellStart"/>
      <w:r w:rsidR="003309BB">
        <w:rPr>
          <w:sz w:val="24"/>
          <w:szCs w:val="24"/>
        </w:rPr>
        <w:t>Marcu</w:t>
      </w:r>
      <w:proofErr w:type="spellEnd"/>
      <w:r w:rsidR="003309BB">
        <w:rPr>
          <w:sz w:val="24"/>
          <w:szCs w:val="24"/>
        </w:rPr>
        <w:t xml:space="preserve"> innerhalb des Exils zu dieser Zeit nahezu isoliert da.</w:t>
      </w:r>
    </w:p>
    <w:p w:rsidR="005309BA" w:rsidRDefault="005309BA" w:rsidP="005309BA">
      <w:pPr>
        <w:spacing w:after="0"/>
        <w:rPr>
          <w:sz w:val="24"/>
          <w:szCs w:val="24"/>
        </w:rPr>
      </w:pPr>
      <w:r>
        <w:rPr>
          <w:sz w:val="24"/>
          <w:szCs w:val="24"/>
        </w:rPr>
        <w:tab/>
      </w:r>
      <w:proofErr w:type="spellStart"/>
      <w:r>
        <w:rPr>
          <w:sz w:val="24"/>
          <w:szCs w:val="24"/>
        </w:rPr>
        <w:t>Marcu</w:t>
      </w:r>
      <w:proofErr w:type="spellEnd"/>
      <w:r>
        <w:rPr>
          <w:sz w:val="24"/>
          <w:szCs w:val="24"/>
        </w:rPr>
        <w:t xml:space="preserve"> operiert mit </w:t>
      </w:r>
      <w:r w:rsidR="006063C4">
        <w:rPr>
          <w:sz w:val="24"/>
          <w:szCs w:val="24"/>
        </w:rPr>
        <w:t>ungewöhnliche</w:t>
      </w:r>
      <w:r>
        <w:rPr>
          <w:sz w:val="24"/>
          <w:szCs w:val="24"/>
        </w:rPr>
        <w:t>n sprachlichen Form</w:t>
      </w:r>
      <w:r w:rsidR="003309BB">
        <w:rPr>
          <w:sz w:val="24"/>
          <w:szCs w:val="24"/>
        </w:rPr>
        <w:t>en</w:t>
      </w:r>
      <w:r>
        <w:rPr>
          <w:sz w:val="24"/>
          <w:szCs w:val="24"/>
        </w:rPr>
        <w:t xml:space="preserve">. Das </w:t>
      </w:r>
      <w:r w:rsidR="006063C4">
        <w:rPr>
          <w:sz w:val="24"/>
          <w:szCs w:val="24"/>
        </w:rPr>
        <w:t>bestimmende Ele</w:t>
      </w:r>
      <w:r>
        <w:rPr>
          <w:sz w:val="24"/>
          <w:szCs w:val="24"/>
        </w:rPr>
        <w:t xml:space="preserve">ment ist der Rückgriff </w:t>
      </w:r>
      <w:r w:rsidRPr="00C67D71">
        <w:rPr>
          <w:sz w:val="24"/>
          <w:szCs w:val="24"/>
        </w:rPr>
        <w:t>auf einen z.T. antiquierten Wortschatz</w:t>
      </w:r>
      <w:r>
        <w:rPr>
          <w:sz w:val="24"/>
          <w:szCs w:val="24"/>
        </w:rPr>
        <w:t xml:space="preserve">. </w:t>
      </w:r>
      <w:r w:rsidR="003309BB">
        <w:rPr>
          <w:sz w:val="24"/>
          <w:szCs w:val="24"/>
        </w:rPr>
        <w:t xml:space="preserve">Der Gegenstand wird </w:t>
      </w:r>
      <w:r w:rsidR="006063C4">
        <w:rPr>
          <w:sz w:val="24"/>
          <w:szCs w:val="24"/>
        </w:rPr>
        <w:t>dadurch</w:t>
      </w:r>
      <w:r w:rsidR="003309BB">
        <w:rPr>
          <w:sz w:val="24"/>
          <w:szCs w:val="24"/>
        </w:rPr>
        <w:t xml:space="preserve"> in Distanz gerückt, </w:t>
      </w:r>
      <w:r w:rsidR="0049664A">
        <w:rPr>
          <w:sz w:val="24"/>
          <w:szCs w:val="24"/>
        </w:rPr>
        <w:t xml:space="preserve">also </w:t>
      </w:r>
      <w:r w:rsidR="003309BB">
        <w:rPr>
          <w:sz w:val="24"/>
          <w:szCs w:val="24"/>
        </w:rPr>
        <w:t>verfremdet.</w:t>
      </w:r>
      <w:r w:rsidR="0049664A">
        <w:rPr>
          <w:sz w:val="24"/>
          <w:szCs w:val="24"/>
        </w:rPr>
        <w:t xml:space="preserve"> </w:t>
      </w:r>
      <w:proofErr w:type="spellStart"/>
      <w:r>
        <w:rPr>
          <w:sz w:val="24"/>
          <w:szCs w:val="24"/>
        </w:rPr>
        <w:t>Marcu</w:t>
      </w:r>
      <w:proofErr w:type="spellEnd"/>
      <w:r>
        <w:rPr>
          <w:sz w:val="24"/>
          <w:szCs w:val="24"/>
        </w:rPr>
        <w:t xml:space="preserve"> spricht nicht von Rabbinern, sondern von</w:t>
      </w:r>
      <w:r w:rsidRPr="00C67D71">
        <w:rPr>
          <w:sz w:val="24"/>
          <w:szCs w:val="24"/>
        </w:rPr>
        <w:t xml:space="preserve"> </w:t>
      </w:r>
      <w:r w:rsidR="006063C4">
        <w:rPr>
          <w:sz w:val="24"/>
          <w:szCs w:val="24"/>
        </w:rPr>
        <w:t>„</w:t>
      </w:r>
      <w:proofErr w:type="spellStart"/>
      <w:r w:rsidRPr="00C67D71">
        <w:rPr>
          <w:sz w:val="24"/>
          <w:szCs w:val="24"/>
        </w:rPr>
        <w:t>Rabbanen</w:t>
      </w:r>
      <w:proofErr w:type="spellEnd"/>
      <w:r w:rsidR="006063C4">
        <w:rPr>
          <w:sz w:val="24"/>
          <w:szCs w:val="24"/>
        </w:rPr>
        <w:t>“</w:t>
      </w:r>
      <w:r w:rsidRPr="00C67D71">
        <w:rPr>
          <w:sz w:val="24"/>
          <w:szCs w:val="24"/>
        </w:rPr>
        <w:t xml:space="preserve">, </w:t>
      </w:r>
      <w:r>
        <w:rPr>
          <w:sz w:val="24"/>
          <w:szCs w:val="24"/>
        </w:rPr>
        <w:t>von „</w:t>
      </w:r>
      <w:r w:rsidRPr="00C67D71">
        <w:rPr>
          <w:sz w:val="24"/>
          <w:szCs w:val="24"/>
        </w:rPr>
        <w:t>Hibernien</w:t>
      </w:r>
      <w:r>
        <w:rPr>
          <w:sz w:val="24"/>
          <w:szCs w:val="24"/>
        </w:rPr>
        <w:t xml:space="preserve">“ und nicht von der iberischen Halbinsel; </w:t>
      </w:r>
      <w:r w:rsidR="006063C4">
        <w:rPr>
          <w:sz w:val="24"/>
          <w:szCs w:val="24"/>
        </w:rPr>
        <w:t xml:space="preserve">spielerisch stellt er die Bezeichnungen </w:t>
      </w:r>
      <w:r w:rsidR="0049664A">
        <w:rPr>
          <w:sz w:val="24"/>
          <w:szCs w:val="24"/>
        </w:rPr>
        <w:t>„</w:t>
      </w:r>
      <w:r w:rsidRPr="00C67D71">
        <w:rPr>
          <w:sz w:val="24"/>
          <w:szCs w:val="24"/>
        </w:rPr>
        <w:t>Hebräer</w:t>
      </w:r>
      <w:r w:rsidR="0049664A">
        <w:rPr>
          <w:sz w:val="24"/>
          <w:szCs w:val="24"/>
        </w:rPr>
        <w:t>“</w:t>
      </w:r>
      <w:r w:rsidRPr="00C67D71">
        <w:rPr>
          <w:sz w:val="24"/>
          <w:szCs w:val="24"/>
        </w:rPr>
        <w:t xml:space="preserve"> </w:t>
      </w:r>
      <w:r>
        <w:rPr>
          <w:sz w:val="24"/>
          <w:szCs w:val="24"/>
        </w:rPr>
        <w:t xml:space="preserve">und </w:t>
      </w:r>
      <w:r w:rsidR="0049664A">
        <w:rPr>
          <w:sz w:val="24"/>
          <w:szCs w:val="24"/>
        </w:rPr>
        <w:t>„</w:t>
      </w:r>
      <w:proofErr w:type="spellStart"/>
      <w:r w:rsidRPr="00C67D71">
        <w:rPr>
          <w:sz w:val="24"/>
          <w:szCs w:val="24"/>
        </w:rPr>
        <w:t>Hiberi</w:t>
      </w:r>
      <w:r>
        <w:rPr>
          <w:sz w:val="24"/>
          <w:szCs w:val="24"/>
        </w:rPr>
        <w:t>er</w:t>
      </w:r>
      <w:proofErr w:type="spellEnd"/>
      <w:r w:rsidR="0049664A">
        <w:rPr>
          <w:sz w:val="24"/>
          <w:szCs w:val="24"/>
        </w:rPr>
        <w:t>“</w:t>
      </w:r>
      <w:r w:rsidR="006063C4">
        <w:rPr>
          <w:sz w:val="24"/>
          <w:szCs w:val="24"/>
        </w:rPr>
        <w:t xml:space="preserve"> nebeneinander. </w:t>
      </w:r>
      <w:r>
        <w:rPr>
          <w:sz w:val="24"/>
          <w:szCs w:val="24"/>
        </w:rPr>
        <w:t xml:space="preserve">Es ist eine bewusst </w:t>
      </w:r>
      <w:r w:rsidRPr="00C67D71">
        <w:rPr>
          <w:sz w:val="24"/>
          <w:szCs w:val="24"/>
        </w:rPr>
        <w:t>pr</w:t>
      </w:r>
      <w:r w:rsidR="00B11249">
        <w:rPr>
          <w:sz w:val="24"/>
          <w:szCs w:val="24"/>
        </w:rPr>
        <w:t>ez</w:t>
      </w:r>
      <w:r w:rsidRPr="00C67D71">
        <w:rPr>
          <w:sz w:val="24"/>
          <w:szCs w:val="24"/>
        </w:rPr>
        <w:t xml:space="preserve">iöse </w:t>
      </w:r>
      <w:r w:rsidR="002E1945">
        <w:rPr>
          <w:sz w:val="24"/>
          <w:szCs w:val="24"/>
        </w:rPr>
        <w:t xml:space="preserve">Sprache, der eine </w:t>
      </w:r>
      <w:r w:rsidR="006063C4">
        <w:rPr>
          <w:sz w:val="24"/>
          <w:szCs w:val="24"/>
        </w:rPr>
        <w:t>in Teilen</w:t>
      </w:r>
      <w:r w:rsidR="002E1945">
        <w:rPr>
          <w:sz w:val="24"/>
          <w:szCs w:val="24"/>
        </w:rPr>
        <w:t xml:space="preserve"> ebenso pr</w:t>
      </w:r>
      <w:r w:rsidR="00B11249">
        <w:rPr>
          <w:sz w:val="24"/>
          <w:szCs w:val="24"/>
        </w:rPr>
        <w:t>ez</w:t>
      </w:r>
      <w:r w:rsidR="002E1945">
        <w:rPr>
          <w:sz w:val="24"/>
          <w:szCs w:val="24"/>
        </w:rPr>
        <w:t xml:space="preserve">iöse </w:t>
      </w:r>
      <w:r w:rsidRPr="00C67D71">
        <w:rPr>
          <w:sz w:val="24"/>
          <w:szCs w:val="24"/>
        </w:rPr>
        <w:t>Satzbildung</w:t>
      </w:r>
      <w:r w:rsidR="002E1945">
        <w:rPr>
          <w:sz w:val="24"/>
          <w:szCs w:val="24"/>
        </w:rPr>
        <w:t xml:space="preserve"> entspricht</w:t>
      </w:r>
      <w:r w:rsidRPr="00C67D71">
        <w:rPr>
          <w:sz w:val="24"/>
          <w:szCs w:val="24"/>
        </w:rPr>
        <w:t xml:space="preserve">. Der Begriff „Antisemitismus“ wird </w:t>
      </w:r>
      <w:r w:rsidR="002E1945">
        <w:rPr>
          <w:sz w:val="24"/>
          <w:szCs w:val="24"/>
        </w:rPr>
        <w:t xml:space="preserve">offenbar </w:t>
      </w:r>
      <w:r w:rsidRPr="00C67D71">
        <w:rPr>
          <w:sz w:val="24"/>
          <w:szCs w:val="24"/>
        </w:rPr>
        <w:t>absichtsvoll vermieden</w:t>
      </w:r>
      <w:r w:rsidR="002E1945">
        <w:rPr>
          <w:sz w:val="24"/>
          <w:szCs w:val="24"/>
        </w:rPr>
        <w:t>.</w:t>
      </w:r>
      <w:r w:rsidRPr="00C67D71">
        <w:rPr>
          <w:sz w:val="24"/>
          <w:szCs w:val="24"/>
        </w:rPr>
        <w:t xml:space="preserve"> </w:t>
      </w:r>
      <w:r w:rsidR="002E1945">
        <w:rPr>
          <w:sz w:val="24"/>
          <w:szCs w:val="24"/>
        </w:rPr>
        <w:t>S</w:t>
      </w:r>
      <w:r w:rsidRPr="00C67D71">
        <w:rPr>
          <w:sz w:val="24"/>
          <w:szCs w:val="24"/>
        </w:rPr>
        <w:t>tattdessen wird vom „</w:t>
      </w:r>
      <w:proofErr w:type="spellStart"/>
      <w:r w:rsidRPr="00C67D71">
        <w:rPr>
          <w:sz w:val="24"/>
          <w:szCs w:val="24"/>
        </w:rPr>
        <w:t>Haß</w:t>
      </w:r>
      <w:proofErr w:type="spellEnd"/>
      <w:r w:rsidRPr="00C67D71">
        <w:rPr>
          <w:sz w:val="24"/>
          <w:szCs w:val="24"/>
        </w:rPr>
        <w:t xml:space="preserve"> gegen alles Jüdische“ oder von der „antijüdischen Bewegung“ gesprochen</w:t>
      </w:r>
      <w:r w:rsidR="002E1945">
        <w:rPr>
          <w:sz w:val="24"/>
          <w:szCs w:val="24"/>
        </w:rPr>
        <w:t>.</w:t>
      </w:r>
      <w:r w:rsidR="002E1945">
        <w:rPr>
          <w:rStyle w:val="Funotenzeichen"/>
          <w:sz w:val="24"/>
          <w:szCs w:val="24"/>
        </w:rPr>
        <w:footnoteReference w:id="18"/>
      </w:r>
      <w:r w:rsidRPr="00C67D71">
        <w:rPr>
          <w:sz w:val="24"/>
          <w:szCs w:val="24"/>
        </w:rPr>
        <w:t xml:space="preserve"> </w:t>
      </w:r>
      <w:proofErr w:type="spellStart"/>
      <w:r w:rsidR="0049664A">
        <w:rPr>
          <w:sz w:val="24"/>
          <w:szCs w:val="24"/>
        </w:rPr>
        <w:t>Marcu</w:t>
      </w:r>
      <w:proofErr w:type="spellEnd"/>
      <w:r w:rsidR="0049664A">
        <w:rPr>
          <w:sz w:val="24"/>
          <w:szCs w:val="24"/>
        </w:rPr>
        <w:t xml:space="preserve"> vermeidet </w:t>
      </w:r>
      <w:r w:rsidR="009A4BA4">
        <w:rPr>
          <w:sz w:val="24"/>
          <w:szCs w:val="24"/>
        </w:rPr>
        <w:t xml:space="preserve">gängige </w:t>
      </w:r>
      <w:r w:rsidR="0049664A">
        <w:rPr>
          <w:sz w:val="24"/>
          <w:szCs w:val="24"/>
        </w:rPr>
        <w:t>Formel</w:t>
      </w:r>
      <w:r w:rsidR="009A4BA4">
        <w:rPr>
          <w:sz w:val="24"/>
          <w:szCs w:val="24"/>
        </w:rPr>
        <w:t>n</w:t>
      </w:r>
      <w:r w:rsidR="0049664A">
        <w:rPr>
          <w:sz w:val="24"/>
          <w:szCs w:val="24"/>
        </w:rPr>
        <w:t xml:space="preserve">, vermutlich weil </w:t>
      </w:r>
      <w:r w:rsidR="009A4BA4">
        <w:rPr>
          <w:sz w:val="24"/>
          <w:szCs w:val="24"/>
        </w:rPr>
        <w:t xml:space="preserve">Formeln </w:t>
      </w:r>
      <w:r w:rsidR="006C615E">
        <w:rPr>
          <w:sz w:val="24"/>
          <w:szCs w:val="24"/>
        </w:rPr>
        <w:t xml:space="preserve">aus seiner Sicht </w:t>
      </w:r>
      <w:r w:rsidR="0049664A">
        <w:rPr>
          <w:sz w:val="24"/>
          <w:szCs w:val="24"/>
        </w:rPr>
        <w:t xml:space="preserve">das typologische Moment in den Hintergrund </w:t>
      </w:r>
      <w:r w:rsidR="006063C4">
        <w:rPr>
          <w:sz w:val="24"/>
          <w:szCs w:val="24"/>
        </w:rPr>
        <w:t>dräng</w:t>
      </w:r>
      <w:r w:rsidR="0049664A">
        <w:rPr>
          <w:sz w:val="24"/>
          <w:szCs w:val="24"/>
        </w:rPr>
        <w:t>en</w:t>
      </w:r>
      <w:r w:rsidR="009A4BA4">
        <w:rPr>
          <w:sz w:val="24"/>
          <w:szCs w:val="24"/>
        </w:rPr>
        <w:t xml:space="preserve"> und </w:t>
      </w:r>
      <w:r w:rsidR="00B9596E">
        <w:rPr>
          <w:sz w:val="24"/>
          <w:szCs w:val="24"/>
        </w:rPr>
        <w:t xml:space="preserve">damit </w:t>
      </w:r>
      <w:r w:rsidR="009A4BA4">
        <w:rPr>
          <w:sz w:val="24"/>
          <w:szCs w:val="24"/>
        </w:rPr>
        <w:t xml:space="preserve">dem Vorgang </w:t>
      </w:r>
      <w:r w:rsidR="00B9596E">
        <w:rPr>
          <w:sz w:val="24"/>
          <w:szCs w:val="24"/>
        </w:rPr>
        <w:t>sein</w:t>
      </w:r>
      <w:r w:rsidR="009A4BA4">
        <w:rPr>
          <w:sz w:val="24"/>
          <w:szCs w:val="24"/>
        </w:rPr>
        <w:t xml:space="preserve">e schaurige Größe nehmen, die den Leser zur Besinnung, zur Erschütterung, </w:t>
      </w:r>
      <w:r w:rsidR="00B9596E">
        <w:rPr>
          <w:sz w:val="24"/>
          <w:szCs w:val="24"/>
        </w:rPr>
        <w:t xml:space="preserve">vor allem aber zur Erkenntnis der Gefahr </w:t>
      </w:r>
      <w:r w:rsidR="009A4BA4">
        <w:rPr>
          <w:sz w:val="24"/>
          <w:szCs w:val="24"/>
        </w:rPr>
        <w:t>bewegen</w:t>
      </w:r>
      <w:r w:rsidR="00B9596E">
        <w:rPr>
          <w:sz w:val="24"/>
          <w:szCs w:val="24"/>
        </w:rPr>
        <w:t xml:space="preserve"> soll.</w:t>
      </w:r>
      <w:r w:rsidR="0049664A">
        <w:rPr>
          <w:sz w:val="24"/>
          <w:szCs w:val="24"/>
        </w:rPr>
        <w:t xml:space="preserve"> </w:t>
      </w:r>
      <w:r w:rsidR="002E1945">
        <w:rPr>
          <w:sz w:val="24"/>
          <w:szCs w:val="24"/>
        </w:rPr>
        <w:t xml:space="preserve">Der Text </w:t>
      </w:r>
      <w:r w:rsidR="00B9596E">
        <w:rPr>
          <w:sz w:val="24"/>
          <w:szCs w:val="24"/>
        </w:rPr>
        <w:t>tritt</w:t>
      </w:r>
      <w:r w:rsidR="002E1945">
        <w:rPr>
          <w:sz w:val="24"/>
          <w:szCs w:val="24"/>
        </w:rPr>
        <w:t xml:space="preserve"> sprachlich-stilistisch </w:t>
      </w:r>
      <w:r w:rsidR="006063C4">
        <w:rPr>
          <w:sz w:val="24"/>
          <w:szCs w:val="24"/>
        </w:rPr>
        <w:t>wie</w:t>
      </w:r>
      <w:r w:rsidR="002E1945">
        <w:rPr>
          <w:sz w:val="24"/>
          <w:szCs w:val="24"/>
        </w:rPr>
        <w:t xml:space="preserve"> argumentativ als Solitär in Erschei</w:t>
      </w:r>
      <w:r w:rsidR="0049664A">
        <w:rPr>
          <w:sz w:val="24"/>
          <w:szCs w:val="24"/>
        </w:rPr>
        <w:t>n</w:t>
      </w:r>
      <w:r w:rsidR="002E1945">
        <w:rPr>
          <w:sz w:val="24"/>
          <w:szCs w:val="24"/>
        </w:rPr>
        <w:t>ung.</w:t>
      </w:r>
      <w:r w:rsidR="0049664A" w:rsidRPr="0049664A">
        <w:rPr>
          <w:sz w:val="24"/>
          <w:szCs w:val="24"/>
        </w:rPr>
        <w:t xml:space="preserve"> </w:t>
      </w:r>
    </w:p>
    <w:p w:rsidR="00BE5500" w:rsidRDefault="00BE5500" w:rsidP="00BE5500">
      <w:pPr>
        <w:spacing w:after="0"/>
        <w:rPr>
          <w:sz w:val="24"/>
          <w:szCs w:val="24"/>
        </w:rPr>
      </w:pPr>
      <w:r>
        <w:rPr>
          <w:sz w:val="24"/>
          <w:szCs w:val="24"/>
        </w:rPr>
        <w:tab/>
        <w:t>Das Buch gliedert sich in d</w:t>
      </w:r>
      <w:r w:rsidR="00456732">
        <w:rPr>
          <w:sz w:val="24"/>
          <w:szCs w:val="24"/>
        </w:rPr>
        <w:t>ie</w:t>
      </w:r>
      <w:r w:rsidRPr="00BE5500">
        <w:rPr>
          <w:sz w:val="24"/>
          <w:szCs w:val="24"/>
        </w:rPr>
        <w:t xml:space="preserve"> Kapitel</w:t>
      </w:r>
      <w:r>
        <w:rPr>
          <w:sz w:val="24"/>
          <w:szCs w:val="24"/>
        </w:rPr>
        <w:t xml:space="preserve"> </w:t>
      </w:r>
      <w:r w:rsidRPr="00BE5500">
        <w:rPr>
          <w:sz w:val="24"/>
          <w:szCs w:val="24"/>
        </w:rPr>
        <w:t>„Zwischen Wohlstand und Massaker“, „Die Inquisition“ und „Die Vertreibung“</w:t>
      </w:r>
      <w:r w:rsidR="00456732">
        <w:rPr>
          <w:sz w:val="24"/>
          <w:szCs w:val="24"/>
        </w:rPr>
        <w:t>;</w:t>
      </w:r>
      <w:r w:rsidR="00B9596E">
        <w:rPr>
          <w:sz w:val="24"/>
          <w:szCs w:val="24"/>
        </w:rPr>
        <w:t xml:space="preserve"> </w:t>
      </w:r>
      <w:r w:rsidR="00456732">
        <w:rPr>
          <w:sz w:val="24"/>
          <w:szCs w:val="24"/>
        </w:rPr>
        <w:t>es</w:t>
      </w:r>
      <w:r>
        <w:rPr>
          <w:sz w:val="24"/>
          <w:szCs w:val="24"/>
        </w:rPr>
        <w:t xml:space="preserve"> schließt mit dem</w:t>
      </w:r>
      <w:r w:rsidRPr="00BE5500">
        <w:rPr>
          <w:sz w:val="24"/>
          <w:szCs w:val="24"/>
        </w:rPr>
        <w:t xml:space="preserve"> Resümee „Hat die Inquisition Spanien geschadet?“</w:t>
      </w:r>
      <w:r>
        <w:rPr>
          <w:sz w:val="24"/>
          <w:szCs w:val="24"/>
        </w:rPr>
        <w:t xml:space="preserve"> D</w:t>
      </w:r>
      <w:r w:rsidR="00B9596E">
        <w:rPr>
          <w:sz w:val="24"/>
          <w:szCs w:val="24"/>
        </w:rPr>
        <w:t>er Aufbau</w:t>
      </w:r>
      <w:r>
        <w:rPr>
          <w:sz w:val="24"/>
          <w:szCs w:val="24"/>
        </w:rPr>
        <w:t xml:space="preserve"> </w:t>
      </w:r>
      <w:r w:rsidR="00C77225">
        <w:rPr>
          <w:sz w:val="24"/>
          <w:szCs w:val="24"/>
        </w:rPr>
        <w:t>folg</w:t>
      </w:r>
      <w:r>
        <w:rPr>
          <w:sz w:val="24"/>
          <w:szCs w:val="24"/>
        </w:rPr>
        <w:t xml:space="preserve">t </w:t>
      </w:r>
      <w:r w:rsidR="00B9596E">
        <w:rPr>
          <w:sz w:val="24"/>
          <w:szCs w:val="24"/>
        </w:rPr>
        <w:t xml:space="preserve">äußerlich </w:t>
      </w:r>
      <w:r>
        <w:rPr>
          <w:sz w:val="24"/>
          <w:szCs w:val="24"/>
        </w:rPr>
        <w:t>de</w:t>
      </w:r>
      <w:r w:rsidR="00B9596E">
        <w:rPr>
          <w:sz w:val="24"/>
          <w:szCs w:val="24"/>
        </w:rPr>
        <w:t>m</w:t>
      </w:r>
      <w:r>
        <w:rPr>
          <w:sz w:val="24"/>
          <w:szCs w:val="24"/>
        </w:rPr>
        <w:t xml:space="preserve"> zeitlichen Ablauf des Geschehens. Die</w:t>
      </w:r>
      <w:r w:rsidR="00B9596E">
        <w:rPr>
          <w:sz w:val="24"/>
          <w:szCs w:val="24"/>
        </w:rPr>
        <w:t xml:space="preserve"> </w:t>
      </w:r>
      <w:r>
        <w:rPr>
          <w:sz w:val="24"/>
          <w:szCs w:val="24"/>
        </w:rPr>
        <w:t xml:space="preserve">strukturbildenden Elemente sind </w:t>
      </w:r>
      <w:r w:rsidR="00B9596E">
        <w:rPr>
          <w:sz w:val="24"/>
          <w:szCs w:val="24"/>
        </w:rPr>
        <w:t xml:space="preserve">jedoch </w:t>
      </w:r>
      <w:r w:rsidR="00456732">
        <w:rPr>
          <w:sz w:val="24"/>
          <w:szCs w:val="24"/>
        </w:rPr>
        <w:t xml:space="preserve">nicht die Kapitel, sondern </w:t>
      </w:r>
      <w:r w:rsidR="00B9596E">
        <w:rPr>
          <w:sz w:val="24"/>
          <w:szCs w:val="24"/>
        </w:rPr>
        <w:t>Marcus Stellungnahmen zu den Grundlagen des Geschehens</w:t>
      </w:r>
      <w:r w:rsidR="00C77225">
        <w:rPr>
          <w:sz w:val="24"/>
          <w:szCs w:val="24"/>
        </w:rPr>
        <w:t>:</w:t>
      </w:r>
      <w:r>
        <w:rPr>
          <w:sz w:val="24"/>
          <w:szCs w:val="24"/>
        </w:rPr>
        <w:t xml:space="preserve"> </w:t>
      </w:r>
      <w:r w:rsidR="00692DD8">
        <w:rPr>
          <w:sz w:val="24"/>
          <w:szCs w:val="24"/>
        </w:rPr>
        <w:t>zum</w:t>
      </w:r>
      <w:r>
        <w:rPr>
          <w:sz w:val="24"/>
          <w:szCs w:val="24"/>
        </w:rPr>
        <w:t xml:space="preserve"> </w:t>
      </w:r>
      <w:r w:rsidR="00692DD8">
        <w:rPr>
          <w:sz w:val="24"/>
          <w:szCs w:val="24"/>
        </w:rPr>
        <w:t xml:space="preserve">Selbstverständnis sowohl der jüdischen als auch der </w:t>
      </w:r>
      <w:r w:rsidR="00692DD8">
        <w:rPr>
          <w:sz w:val="24"/>
          <w:szCs w:val="24"/>
        </w:rPr>
        <w:lastRenderedPageBreak/>
        <w:t xml:space="preserve">christlichen Bevölkerung, zum Modus </w:t>
      </w:r>
      <w:r w:rsidR="00B9596E">
        <w:rPr>
          <w:sz w:val="24"/>
          <w:szCs w:val="24"/>
        </w:rPr>
        <w:t>d</w:t>
      </w:r>
      <w:r w:rsidR="00692DD8">
        <w:rPr>
          <w:sz w:val="24"/>
          <w:szCs w:val="24"/>
        </w:rPr>
        <w:t xml:space="preserve">es </w:t>
      </w:r>
      <w:r w:rsidR="00B9596E">
        <w:rPr>
          <w:sz w:val="24"/>
          <w:szCs w:val="24"/>
        </w:rPr>
        <w:t xml:space="preserve">gemeinsamen </w:t>
      </w:r>
      <w:r w:rsidR="00692DD8">
        <w:rPr>
          <w:sz w:val="24"/>
          <w:szCs w:val="24"/>
        </w:rPr>
        <w:t xml:space="preserve">Zusammenlebens, zur </w:t>
      </w:r>
      <w:r w:rsidR="00C77225">
        <w:rPr>
          <w:sz w:val="24"/>
          <w:szCs w:val="24"/>
        </w:rPr>
        <w:t xml:space="preserve">juristischen </w:t>
      </w:r>
      <w:r w:rsidR="00692DD8">
        <w:rPr>
          <w:sz w:val="24"/>
          <w:szCs w:val="24"/>
        </w:rPr>
        <w:t>Funktion der Inquisition sowie zu den Umständen und Folgen der Vertreibung.</w:t>
      </w:r>
      <w:r w:rsidR="00456732">
        <w:rPr>
          <w:sz w:val="24"/>
          <w:szCs w:val="24"/>
        </w:rPr>
        <w:t xml:space="preserve"> Ein </w:t>
      </w:r>
      <w:r w:rsidR="005652C5">
        <w:rPr>
          <w:sz w:val="24"/>
          <w:szCs w:val="24"/>
        </w:rPr>
        <w:t>dabei</w:t>
      </w:r>
      <w:r w:rsidR="00456732">
        <w:rPr>
          <w:sz w:val="24"/>
          <w:szCs w:val="24"/>
        </w:rPr>
        <w:t xml:space="preserve"> mehrfach behandeltes Thema ist die Rolle der jüdischen Renegaten im Prozess der Verfolgung</w:t>
      </w:r>
      <w:r w:rsidR="004A4569">
        <w:rPr>
          <w:sz w:val="24"/>
          <w:szCs w:val="24"/>
        </w:rPr>
        <w:t>.</w:t>
      </w:r>
    </w:p>
    <w:p w:rsidR="004A4569" w:rsidRDefault="004A4569" w:rsidP="00BE5500">
      <w:pPr>
        <w:spacing w:after="0"/>
        <w:rPr>
          <w:sz w:val="24"/>
          <w:szCs w:val="24"/>
        </w:rPr>
      </w:pPr>
    </w:p>
    <w:p w:rsidR="00094C75" w:rsidRDefault="00692DD8" w:rsidP="00BE5500">
      <w:pPr>
        <w:spacing w:after="0"/>
        <w:rPr>
          <w:sz w:val="24"/>
          <w:szCs w:val="24"/>
        </w:rPr>
      </w:pPr>
      <w:r>
        <w:rPr>
          <w:sz w:val="24"/>
          <w:szCs w:val="24"/>
        </w:rPr>
        <w:tab/>
      </w:r>
      <w:r w:rsidR="004A4569">
        <w:rPr>
          <w:sz w:val="24"/>
          <w:szCs w:val="24"/>
        </w:rPr>
        <w:t xml:space="preserve">Der </w:t>
      </w:r>
      <w:r>
        <w:rPr>
          <w:sz w:val="24"/>
          <w:szCs w:val="24"/>
        </w:rPr>
        <w:t xml:space="preserve">Ausgangspunkt </w:t>
      </w:r>
      <w:r w:rsidR="00704B6D">
        <w:rPr>
          <w:sz w:val="24"/>
          <w:szCs w:val="24"/>
        </w:rPr>
        <w:t xml:space="preserve">der Darstellung </w:t>
      </w:r>
      <w:r w:rsidR="00BE0037">
        <w:rPr>
          <w:sz w:val="24"/>
          <w:szCs w:val="24"/>
        </w:rPr>
        <w:t>ist</w:t>
      </w:r>
      <w:r>
        <w:rPr>
          <w:sz w:val="24"/>
          <w:szCs w:val="24"/>
        </w:rPr>
        <w:t xml:space="preserve"> die </w:t>
      </w:r>
      <w:r w:rsidRPr="00692DD8">
        <w:rPr>
          <w:sz w:val="24"/>
          <w:szCs w:val="24"/>
        </w:rPr>
        <w:t xml:space="preserve">Disputation von </w:t>
      </w:r>
      <w:proofErr w:type="spellStart"/>
      <w:r w:rsidRPr="00692DD8">
        <w:rPr>
          <w:sz w:val="24"/>
          <w:szCs w:val="24"/>
        </w:rPr>
        <w:t>Tortosa</w:t>
      </w:r>
      <w:proofErr w:type="spellEnd"/>
      <w:r w:rsidRPr="00692DD8">
        <w:rPr>
          <w:sz w:val="24"/>
          <w:szCs w:val="24"/>
        </w:rPr>
        <w:t xml:space="preserve"> (1413 – 1414)</w:t>
      </w:r>
      <w:r>
        <w:rPr>
          <w:sz w:val="24"/>
          <w:szCs w:val="24"/>
        </w:rPr>
        <w:t>, ein</w:t>
      </w:r>
      <w:r w:rsidR="00BE0037">
        <w:rPr>
          <w:sz w:val="24"/>
          <w:szCs w:val="24"/>
        </w:rPr>
        <w:t xml:space="preserve"> über</w:t>
      </w:r>
      <w:r>
        <w:rPr>
          <w:sz w:val="24"/>
          <w:szCs w:val="24"/>
        </w:rPr>
        <w:t xml:space="preserve"> vierzehn Monate </w:t>
      </w:r>
      <w:r w:rsidR="00B11841">
        <w:rPr>
          <w:sz w:val="24"/>
          <w:szCs w:val="24"/>
        </w:rPr>
        <w:t xml:space="preserve">sich </w:t>
      </w:r>
      <w:r w:rsidR="00BE0037">
        <w:rPr>
          <w:sz w:val="24"/>
          <w:szCs w:val="24"/>
        </w:rPr>
        <w:t xml:space="preserve">erstreckendes Streitgespräch zwischen christlichen und jüdischen </w:t>
      </w:r>
      <w:r w:rsidR="00094C75">
        <w:rPr>
          <w:sz w:val="24"/>
          <w:szCs w:val="24"/>
        </w:rPr>
        <w:t>Gelehrt</w:t>
      </w:r>
      <w:r w:rsidR="00BE0037">
        <w:rPr>
          <w:sz w:val="24"/>
          <w:szCs w:val="24"/>
        </w:rPr>
        <w:t>en</w:t>
      </w:r>
      <w:r w:rsidR="00907386">
        <w:rPr>
          <w:sz w:val="24"/>
          <w:szCs w:val="24"/>
        </w:rPr>
        <w:t xml:space="preserve"> über </w:t>
      </w:r>
      <w:r w:rsidR="00C77225">
        <w:rPr>
          <w:sz w:val="24"/>
          <w:szCs w:val="24"/>
        </w:rPr>
        <w:t>die Frage,</w:t>
      </w:r>
      <w:r>
        <w:rPr>
          <w:sz w:val="24"/>
          <w:szCs w:val="24"/>
        </w:rPr>
        <w:t xml:space="preserve"> </w:t>
      </w:r>
      <w:r w:rsidR="00C77225">
        <w:rPr>
          <w:sz w:val="24"/>
          <w:szCs w:val="24"/>
        </w:rPr>
        <w:t>ob „</w:t>
      </w:r>
      <w:r w:rsidR="00C77225" w:rsidRPr="00E27C0F">
        <w:rPr>
          <w:sz w:val="24"/>
          <w:szCs w:val="24"/>
        </w:rPr>
        <w:t>auf Grund des Talmud</w:t>
      </w:r>
      <w:r w:rsidR="00C77225" w:rsidRPr="00692DD8">
        <w:rPr>
          <w:sz w:val="24"/>
          <w:szCs w:val="24"/>
        </w:rPr>
        <w:t xml:space="preserve"> de</w:t>
      </w:r>
      <w:r w:rsidR="00C77225">
        <w:rPr>
          <w:sz w:val="24"/>
          <w:szCs w:val="24"/>
        </w:rPr>
        <w:t>[r]</w:t>
      </w:r>
      <w:r w:rsidR="00C77225" w:rsidRPr="00692DD8">
        <w:rPr>
          <w:sz w:val="24"/>
          <w:szCs w:val="24"/>
        </w:rPr>
        <w:t xml:space="preserve"> Erweis zu erbringen</w:t>
      </w:r>
      <w:r w:rsidR="00C77225">
        <w:rPr>
          <w:sz w:val="24"/>
          <w:szCs w:val="24"/>
        </w:rPr>
        <w:t xml:space="preserve"> [ist]</w:t>
      </w:r>
      <w:r w:rsidR="00C77225" w:rsidRPr="00692DD8">
        <w:rPr>
          <w:sz w:val="24"/>
          <w:szCs w:val="24"/>
        </w:rPr>
        <w:t xml:space="preserve">, </w:t>
      </w:r>
      <w:proofErr w:type="spellStart"/>
      <w:r w:rsidR="00C77225" w:rsidRPr="00692DD8">
        <w:rPr>
          <w:sz w:val="24"/>
          <w:szCs w:val="24"/>
        </w:rPr>
        <w:t>daß</w:t>
      </w:r>
      <w:proofErr w:type="spellEnd"/>
      <w:r w:rsidR="00C77225" w:rsidRPr="00692DD8">
        <w:rPr>
          <w:sz w:val="24"/>
          <w:szCs w:val="24"/>
        </w:rPr>
        <w:t xml:space="preserve"> der Messias bereits erschienen ist“</w:t>
      </w:r>
      <w:r w:rsidR="00C77225">
        <w:rPr>
          <w:sz w:val="24"/>
          <w:szCs w:val="24"/>
        </w:rPr>
        <w:t>.</w:t>
      </w:r>
      <w:r w:rsidR="00C77225">
        <w:rPr>
          <w:rStyle w:val="Funotenzeichen"/>
          <w:sz w:val="24"/>
          <w:szCs w:val="24"/>
        </w:rPr>
        <w:footnoteReference w:id="19"/>
      </w:r>
      <w:r w:rsidR="00C77225">
        <w:rPr>
          <w:sz w:val="24"/>
          <w:szCs w:val="24"/>
        </w:rPr>
        <w:t xml:space="preserve"> </w:t>
      </w:r>
      <w:r w:rsidR="00907386">
        <w:rPr>
          <w:sz w:val="24"/>
          <w:szCs w:val="24"/>
        </w:rPr>
        <w:t>D</w:t>
      </w:r>
      <w:r w:rsidR="00EE7C58">
        <w:rPr>
          <w:sz w:val="24"/>
          <w:szCs w:val="24"/>
        </w:rPr>
        <w:t>ie</w:t>
      </w:r>
      <w:r w:rsidR="00907386">
        <w:rPr>
          <w:sz w:val="24"/>
          <w:szCs w:val="24"/>
        </w:rPr>
        <w:t xml:space="preserve"> Disputation</w:t>
      </w:r>
      <w:r w:rsidR="00EE7C58">
        <w:rPr>
          <w:sz w:val="24"/>
          <w:szCs w:val="24"/>
        </w:rPr>
        <w:t xml:space="preserve"> </w:t>
      </w:r>
      <w:r w:rsidR="00094C75">
        <w:rPr>
          <w:sz w:val="24"/>
          <w:szCs w:val="24"/>
        </w:rPr>
        <w:t>wird in</w:t>
      </w:r>
      <w:r w:rsidR="00456732">
        <w:rPr>
          <w:sz w:val="24"/>
          <w:szCs w:val="24"/>
        </w:rPr>
        <w:t xml:space="preserve"> Anwesenheit </w:t>
      </w:r>
      <w:r w:rsidR="00094C75">
        <w:rPr>
          <w:sz w:val="24"/>
          <w:szCs w:val="24"/>
        </w:rPr>
        <w:t xml:space="preserve">von fünfzig Kardinälen, Erzbischöfen und Bischöfen durch </w:t>
      </w:r>
      <w:r w:rsidR="00456732">
        <w:rPr>
          <w:sz w:val="24"/>
          <w:szCs w:val="24"/>
        </w:rPr>
        <w:t>Benedikt XIII., de</w:t>
      </w:r>
      <w:r w:rsidR="00094C75">
        <w:rPr>
          <w:sz w:val="24"/>
          <w:szCs w:val="24"/>
        </w:rPr>
        <w:t>n</w:t>
      </w:r>
      <w:r w:rsidR="00456732">
        <w:rPr>
          <w:sz w:val="24"/>
          <w:szCs w:val="24"/>
        </w:rPr>
        <w:t xml:space="preserve"> Gegenpapst, </w:t>
      </w:r>
      <w:r w:rsidR="00094C75">
        <w:rPr>
          <w:sz w:val="24"/>
          <w:szCs w:val="24"/>
        </w:rPr>
        <w:t xml:space="preserve">eröffnet. </w:t>
      </w:r>
      <w:r w:rsidR="00EE7C58">
        <w:rPr>
          <w:sz w:val="24"/>
          <w:szCs w:val="24"/>
        </w:rPr>
        <w:t>Die jüdische Seite ist durch dreißig Rabbiner vertreten.</w:t>
      </w:r>
    </w:p>
    <w:p w:rsidR="00FA0D34" w:rsidRDefault="00FA0D34" w:rsidP="00BE5500">
      <w:pPr>
        <w:spacing w:after="0"/>
        <w:rPr>
          <w:sz w:val="24"/>
          <w:szCs w:val="24"/>
        </w:rPr>
      </w:pPr>
      <w:r>
        <w:rPr>
          <w:sz w:val="24"/>
          <w:szCs w:val="24"/>
        </w:rPr>
        <w:tab/>
      </w:r>
      <w:proofErr w:type="spellStart"/>
      <w:r w:rsidR="00907386">
        <w:rPr>
          <w:sz w:val="24"/>
          <w:szCs w:val="24"/>
        </w:rPr>
        <w:t>Marcu</w:t>
      </w:r>
      <w:proofErr w:type="spellEnd"/>
      <w:r w:rsidR="00907386">
        <w:rPr>
          <w:sz w:val="24"/>
          <w:szCs w:val="24"/>
        </w:rPr>
        <w:t xml:space="preserve"> </w:t>
      </w:r>
      <w:r w:rsidR="00C62FA9">
        <w:rPr>
          <w:sz w:val="24"/>
          <w:szCs w:val="24"/>
        </w:rPr>
        <w:t>weis</w:t>
      </w:r>
      <w:r w:rsidR="00907386">
        <w:rPr>
          <w:sz w:val="24"/>
          <w:szCs w:val="24"/>
        </w:rPr>
        <w:t xml:space="preserve">t </w:t>
      </w:r>
      <w:r w:rsidR="00C62FA9">
        <w:rPr>
          <w:sz w:val="24"/>
          <w:szCs w:val="24"/>
        </w:rPr>
        <w:t xml:space="preserve">darauf hin, dass </w:t>
      </w:r>
      <w:r w:rsidR="00907386">
        <w:rPr>
          <w:sz w:val="24"/>
          <w:szCs w:val="24"/>
        </w:rPr>
        <w:t>d</w:t>
      </w:r>
      <w:r w:rsidR="00C62FA9">
        <w:rPr>
          <w:sz w:val="24"/>
          <w:szCs w:val="24"/>
        </w:rPr>
        <w:t>as</w:t>
      </w:r>
      <w:r w:rsidR="00907386">
        <w:rPr>
          <w:sz w:val="24"/>
          <w:szCs w:val="24"/>
        </w:rPr>
        <w:t xml:space="preserve"> Thema</w:t>
      </w:r>
      <w:r w:rsidR="00C62FA9">
        <w:rPr>
          <w:sz w:val="24"/>
          <w:szCs w:val="24"/>
        </w:rPr>
        <w:t xml:space="preserve"> der Disputation</w:t>
      </w:r>
      <w:r w:rsidR="00907386">
        <w:rPr>
          <w:sz w:val="24"/>
          <w:szCs w:val="24"/>
        </w:rPr>
        <w:t xml:space="preserve"> </w:t>
      </w:r>
      <w:r w:rsidR="00C62FA9">
        <w:rPr>
          <w:sz w:val="24"/>
          <w:szCs w:val="24"/>
        </w:rPr>
        <w:t>aus der</w:t>
      </w:r>
      <w:r>
        <w:rPr>
          <w:sz w:val="24"/>
          <w:szCs w:val="24"/>
        </w:rPr>
        <w:t xml:space="preserve"> </w:t>
      </w:r>
      <w:r w:rsidR="00907386">
        <w:rPr>
          <w:sz w:val="24"/>
          <w:szCs w:val="24"/>
        </w:rPr>
        <w:t xml:space="preserve">im 15. Jahrhundert </w:t>
      </w:r>
      <w:r w:rsidR="00194815">
        <w:rPr>
          <w:sz w:val="24"/>
          <w:szCs w:val="24"/>
        </w:rPr>
        <w:t xml:space="preserve">für Spanien </w:t>
      </w:r>
      <w:r>
        <w:rPr>
          <w:sz w:val="24"/>
          <w:szCs w:val="24"/>
        </w:rPr>
        <w:t>charakteristische</w:t>
      </w:r>
      <w:r w:rsidR="00C62FA9">
        <w:rPr>
          <w:sz w:val="24"/>
          <w:szCs w:val="24"/>
        </w:rPr>
        <w:t>n</w:t>
      </w:r>
      <w:r>
        <w:rPr>
          <w:sz w:val="24"/>
          <w:szCs w:val="24"/>
        </w:rPr>
        <w:t xml:space="preserve"> Religi</w:t>
      </w:r>
      <w:r w:rsidR="00A44412">
        <w:rPr>
          <w:sz w:val="24"/>
          <w:szCs w:val="24"/>
        </w:rPr>
        <w:t>o</w:t>
      </w:r>
      <w:r>
        <w:rPr>
          <w:sz w:val="24"/>
          <w:szCs w:val="24"/>
        </w:rPr>
        <w:t>sität</w:t>
      </w:r>
      <w:r w:rsidR="00C62FA9">
        <w:rPr>
          <w:sz w:val="24"/>
          <w:szCs w:val="24"/>
        </w:rPr>
        <w:t xml:space="preserve"> erwächst, dass es sich in diesem Sinne nicht um eine Inszenierung, sondern um eine Suche nach der tatsächlichen „Wahrheit“ handelt</w:t>
      </w:r>
      <w:r w:rsidR="00663E31">
        <w:rPr>
          <w:sz w:val="24"/>
          <w:szCs w:val="24"/>
        </w:rPr>
        <w:t xml:space="preserve">. </w:t>
      </w:r>
      <w:r w:rsidR="00C62FA9">
        <w:rPr>
          <w:sz w:val="24"/>
          <w:szCs w:val="24"/>
        </w:rPr>
        <w:t xml:space="preserve">Diese Religiosität ist bestimmt vom Bild </w:t>
      </w:r>
      <w:r w:rsidR="00663E31">
        <w:rPr>
          <w:sz w:val="24"/>
          <w:szCs w:val="24"/>
        </w:rPr>
        <w:t>de</w:t>
      </w:r>
      <w:r w:rsidR="00C62FA9">
        <w:rPr>
          <w:sz w:val="24"/>
          <w:szCs w:val="24"/>
        </w:rPr>
        <w:t>s</w:t>
      </w:r>
      <w:r w:rsidR="00663E31">
        <w:rPr>
          <w:sz w:val="24"/>
          <w:szCs w:val="24"/>
        </w:rPr>
        <w:t xml:space="preserve"> „geopferten Messias“: </w:t>
      </w:r>
      <w:r w:rsidR="00C62FA9">
        <w:rPr>
          <w:sz w:val="24"/>
          <w:szCs w:val="24"/>
        </w:rPr>
        <w:t>von</w:t>
      </w:r>
      <w:r w:rsidR="00663E31">
        <w:rPr>
          <w:sz w:val="24"/>
          <w:szCs w:val="24"/>
        </w:rPr>
        <w:t xml:space="preserve"> Christus, de</w:t>
      </w:r>
      <w:r w:rsidR="00C62FA9">
        <w:rPr>
          <w:sz w:val="24"/>
          <w:szCs w:val="24"/>
        </w:rPr>
        <w:t>m</w:t>
      </w:r>
      <w:r w:rsidR="00663E31">
        <w:rPr>
          <w:sz w:val="24"/>
          <w:szCs w:val="24"/>
        </w:rPr>
        <w:t xml:space="preserve"> „Schmerzensmann“</w:t>
      </w:r>
      <w:r w:rsidR="00C62FA9">
        <w:rPr>
          <w:sz w:val="24"/>
          <w:szCs w:val="24"/>
        </w:rPr>
        <w:t xml:space="preserve">. </w:t>
      </w:r>
      <w:r w:rsidR="003E7160">
        <w:rPr>
          <w:sz w:val="24"/>
          <w:szCs w:val="24"/>
        </w:rPr>
        <w:t xml:space="preserve">Nichts berührt die </w:t>
      </w:r>
      <w:r w:rsidR="00663E31">
        <w:rPr>
          <w:sz w:val="24"/>
          <w:szCs w:val="24"/>
        </w:rPr>
        <w:t xml:space="preserve">christliche Gesellschaft </w:t>
      </w:r>
      <w:r w:rsidR="003E7160">
        <w:rPr>
          <w:sz w:val="24"/>
          <w:szCs w:val="24"/>
        </w:rPr>
        <w:t xml:space="preserve">im Innern so stark wie das </w:t>
      </w:r>
      <w:r w:rsidR="00663E31">
        <w:rPr>
          <w:sz w:val="24"/>
          <w:szCs w:val="24"/>
        </w:rPr>
        <w:t>Leiden Christi</w:t>
      </w:r>
      <w:r w:rsidR="009E24A6">
        <w:rPr>
          <w:sz w:val="24"/>
          <w:szCs w:val="24"/>
        </w:rPr>
        <w:t>, des Erlösers</w:t>
      </w:r>
      <w:r w:rsidR="003E7160">
        <w:rPr>
          <w:sz w:val="24"/>
          <w:szCs w:val="24"/>
        </w:rPr>
        <w:t>. Christus opferte sich „für die Menschheit“</w:t>
      </w:r>
      <w:r>
        <w:rPr>
          <w:sz w:val="24"/>
          <w:szCs w:val="24"/>
        </w:rPr>
        <w:t>:</w:t>
      </w:r>
    </w:p>
    <w:p w:rsidR="00FA0D34" w:rsidRDefault="00FA0D34" w:rsidP="00FA0D34">
      <w:pPr>
        <w:spacing w:after="0"/>
        <w:ind w:left="1134"/>
        <w:rPr>
          <w:sz w:val="24"/>
          <w:szCs w:val="24"/>
        </w:rPr>
      </w:pPr>
      <w:r w:rsidRPr="00F61378">
        <w:rPr>
          <w:sz w:val="24"/>
          <w:szCs w:val="24"/>
        </w:rPr>
        <w:t>„Das Symbol des geopferten Messias hatte die Menschen des fünfzehnten Jahrhunderts mit düsterem und pathetischem Schmerz erfüllt. Das Bild des Gekreuzigten erhob sich übergewaltig am Horizont und überschattete Städte, Dörfer und Felder. Es schien jedes einzelne Leid neu zu erwecken, es schien jede Traurigkeit und Bangigkeit dieser Welt in einer einzigen Wolke zu sammeln […]. Die Passion des Heilands wurde zu der der ganzen Menschheit.</w:t>
      </w:r>
      <w:r w:rsidR="00307465">
        <w:rPr>
          <w:sz w:val="24"/>
          <w:szCs w:val="24"/>
        </w:rPr>
        <w:t xml:space="preserve"> Die Christenheit begleitete Jesus auf seinem schweren Weg; sie zog mit ihm in Jerusalem ein; sie empfing mit ihm den Judaskuss; sie geriet mit ihm in Gefangenschaft; sie kam mit ihm zum Verhör; sie schleppte mit ihm das Kreuz, und sie wurde mit ihm erlöst.</w:t>
      </w:r>
      <w:r w:rsidRPr="00F61378">
        <w:rPr>
          <w:sz w:val="24"/>
          <w:szCs w:val="24"/>
        </w:rPr>
        <w:t>“</w:t>
      </w:r>
      <w:r w:rsidR="00A44412">
        <w:rPr>
          <w:rStyle w:val="Funotenzeichen"/>
          <w:sz w:val="24"/>
          <w:szCs w:val="24"/>
        </w:rPr>
        <w:footnoteReference w:id="20"/>
      </w:r>
      <w:r w:rsidRPr="00F61378">
        <w:rPr>
          <w:sz w:val="24"/>
          <w:szCs w:val="24"/>
        </w:rPr>
        <w:t xml:space="preserve"> </w:t>
      </w:r>
    </w:p>
    <w:p w:rsidR="009E24A6" w:rsidRDefault="00307465" w:rsidP="00BE5500">
      <w:pPr>
        <w:spacing w:after="0"/>
        <w:rPr>
          <w:sz w:val="24"/>
          <w:szCs w:val="24"/>
        </w:rPr>
      </w:pPr>
      <w:r>
        <w:rPr>
          <w:sz w:val="24"/>
          <w:szCs w:val="24"/>
        </w:rPr>
        <w:t xml:space="preserve">Unter derartigen Voraussetzungen </w:t>
      </w:r>
      <w:r w:rsidR="00EE7C58">
        <w:rPr>
          <w:sz w:val="24"/>
          <w:szCs w:val="24"/>
        </w:rPr>
        <w:t>ist</w:t>
      </w:r>
      <w:r>
        <w:rPr>
          <w:sz w:val="24"/>
          <w:szCs w:val="24"/>
        </w:rPr>
        <w:t xml:space="preserve"> die Disputation </w:t>
      </w:r>
      <w:r w:rsidR="00094C75">
        <w:rPr>
          <w:sz w:val="24"/>
          <w:szCs w:val="24"/>
        </w:rPr>
        <w:t>alles andere als</w:t>
      </w:r>
      <w:r>
        <w:rPr>
          <w:sz w:val="24"/>
          <w:szCs w:val="24"/>
        </w:rPr>
        <w:t xml:space="preserve"> eine </w:t>
      </w:r>
      <w:r w:rsidR="00EE7C58">
        <w:rPr>
          <w:sz w:val="24"/>
          <w:szCs w:val="24"/>
        </w:rPr>
        <w:t xml:space="preserve">bloße </w:t>
      </w:r>
      <w:r>
        <w:rPr>
          <w:sz w:val="24"/>
          <w:szCs w:val="24"/>
        </w:rPr>
        <w:t xml:space="preserve">Farce. </w:t>
      </w:r>
      <w:r w:rsidR="00A44412">
        <w:rPr>
          <w:sz w:val="24"/>
          <w:szCs w:val="24"/>
        </w:rPr>
        <w:t xml:space="preserve">Sie zielt auf den zentralen Aspekt des Lebensgefühls der Epoche: auf die Person des Erlösers und die </w:t>
      </w:r>
      <w:r w:rsidR="004E789E">
        <w:rPr>
          <w:sz w:val="24"/>
          <w:szCs w:val="24"/>
        </w:rPr>
        <w:t>durch seinen Leidenstod vermittelte</w:t>
      </w:r>
      <w:r>
        <w:rPr>
          <w:sz w:val="24"/>
          <w:szCs w:val="24"/>
        </w:rPr>
        <w:t xml:space="preserve"> </w:t>
      </w:r>
      <w:r w:rsidR="009E24A6">
        <w:rPr>
          <w:sz w:val="24"/>
          <w:szCs w:val="24"/>
        </w:rPr>
        <w:t>Erlösung der sündigen Menschheit durch die Gnade Gottes</w:t>
      </w:r>
      <w:r>
        <w:rPr>
          <w:sz w:val="24"/>
          <w:szCs w:val="24"/>
        </w:rPr>
        <w:t>.</w:t>
      </w:r>
    </w:p>
    <w:p w:rsidR="00307465" w:rsidRDefault="00307465" w:rsidP="00BE5500">
      <w:pPr>
        <w:spacing w:after="0"/>
        <w:rPr>
          <w:sz w:val="24"/>
          <w:szCs w:val="24"/>
        </w:rPr>
      </w:pPr>
      <w:r>
        <w:rPr>
          <w:sz w:val="24"/>
          <w:szCs w:val="24"/>
        </w:rPr>
        <w:tab/>
        <w:t xml:space="preserve">Ganz anders stellte sich das Thema der Disputation </w:t>
      </w:r>
      <w:r w:rsidR="003E7160">
        <w:rPr>
          <w:sz w:val="24"/>
          <w:szCs w:val="24"/>
        </w:rPr>
        <w:t xml:space="preserve">jedoch </w:t>
      </w:r>
      <w:r>
        <w:rPr>
          <w:sz w:val="24"/>
          <w:szCs w:val="24"/>
        </w:rPr>
        <w:t xml:space="preserve">für die Juden dar. </w:t>
      </w:r>
      <w:proofErr w:type="spellStart"/>
      <w:r>
        <w:rPr>
          <w:sz w:val="24"/>
          <w:szCs w:val="24"/>
        </w:rPr>
        <w:t>Marcu</w:t>
      </w:r>
      <w:proofErr w:type="spellEnd"/>
      <w:r>
        <w:rPr>
          <w:sz w:val="24"/>
          <w:szCs w:val="24"/>
        </w:rPr>
        <w:t xml:space="preserve"> formuliert diese Differenz mit aller Klarheit:</w:t>
      </w:r>
    </w:p>
    <w:p w:rsidR="00307465" w:rsidRPr="00307465" w:rsidRDefault="00307465" w:rsidP="00307465">
      <w:pPr>
        <w:spacing w:after="0"/>
        <w:ind w:left="1134"/>
        <w:rPr>
          <w:sz w:val="24"/>
          <w:szCs w:val="24"/>
        </w:rPr>
      </w:pPr>
      <w:r>
        <w:rPr>
          <w:sz w:val="24"/>
          <w:szCs w:val="24"/>
        </w:rPr>
        <w:t>„</w:t>
      </w:r>
      <w:r w:rsidRPr="00307465">
        <w:rPr>
          <w:sz w:val="24"/>
          <w:szCs w:val="24"/>
        </w:rPr>
        <w:t xml:space="preserve">Die Juden konnten das gewesene und in alle Ewigkeit gültige Opfer Christi, </w:t>
      </w:r>
      <w:proofErr w:type="spellStart"/>
      <w:r w:rsidRPr="00307465">
        <w:rPr>
          <w:sz w:val="24"/>
          <w:szCs w:val="24"/>
        </w:rPr>
        <w:t>daß</w:t>
      </w:r>
      <w:proofErr w:type="spellEnd"/>
      <w:r w:rsidRPr="00307465">
        <w:rPr>
          <w:sz w:val="24"/>
          <w:szCs w:val="24"/>
        </w:rPr>
        <w:t xml:space="preserve"> jeder dank der Taufe der Gnade teilhaftig werde, nicht begreifen.</w:t>
      </w:r>
    </w:p>
    <w:p w:rsidR="00307465" w:rsidRPr="00307465" w:rsidRDefault="00307465" w:rsidP="00307465">
      <w:pPr>
        <w:spacing w:after="0"/>
        <w:ind w:left="1134"/>
        <w:rPr>
          <w:sz w:val="24"/>
          <w:szCs w:val="24"/>
        </w:rPr>
      </w:pPr>
      <w:r w:rsidRPr="00307465">
        <w:rPr>
          <w:sz w:val="24"/>
          <w:szCs w:val="24"/>
        </w:rPr>
        <w:t>Sie distanzierten sich durch ihr Gefühl von der Welt des Abendlandes.</w:t>
      </w:r>
    </w:p>
    <w:p w:rsidR="00307465" w:rsidRDefault="00307465" w:rsidP="00307465">
      <w:pPr>
        <w:spacing w:after="0"/>
        <w:ind w:left="1134"/>
        <w:rPr>
          <w:sz w:val="24"/>
          <w:szCs w:val="24"/>
        </w:rPr>
      </w:pPr>
      <w:r w:rsidRPr="00307465">
        <w:rPr>
          <w:sz w:val="24"/>
          <w:szCs w:val="24"/>
        </w:rPr>
        <w:t xml:space="preserve">Die Gefühlsaxe der Christen war der </w:t>
      </w:r>
      <w:r w:rsidRPr="004E789E">
        <w:rPr>
          <w:i/>
          <w:sz w:val="24"/>
          <w:szCs w:val="24"/>
        </w:rPr>
        <w:t>erschienene</w:t>
      </w:r>
      <w:r w:rsidRPr="00307465">
        <w:rPr>
          <w:sz w:val="24"/>
          <w:szCs w:val="24"/>
        </w:rPr>
        <w:t xml:space="preserve">, die der Juden der </w:t>
      </w:r>
      <w:r w:rsidRPr="004E789E">
        <w:rPr>
          <w:i/>
          <w:sz w:val="24"/>
          <w:szCs w:val="24"/>
        </w:rPr>
        <w:t>erwartete</w:t>
      </w:r>
      <w:r w:rsidRPr="00307465">
        <w:rPr>
          <w:sz w:val="24"/>
          <w:szCs w:val="24"/>
        </w:rPr>
        <w:t xml:space="preserve"> Heiland.“</w:t>
      </w:r>
      <w:r w:rsidR="004E789E">
        <w:rPr>
          <w:rStyle w:val="Funotenzeichen"/>
          <w:sz w:val="24"/>
          <w:szCs w:val="24"/>
        </w:rPr>
        <w:footnoteReference w:id="21"/>
      </w:r>
      <w:r w:rsidRPr="00307465">
        <w:rPr>
          <w:sz w:val="24"/>
          <w:szCs w:val="24"/>
        </w:rPr>
        <w:t xml:space="preserve"> </w:t>
      </w:r>
    </w:p>
    <w:p w:rsidR="00307465" w:rsidRDefault="009E24A6" w:rsidP="00307465">
      <w:pPr>
        <w:spacing w:after="0"/>
        <w:rPr>
          <w:sz w:val="24"/>
          <w:szCs w:val="24"/>
        </w:rPr>
      </w:pPr>
      <w:r>
        <w:rPr>
          <w:sz w:val="24"/>
          <w:szCs w:val="24"/>
        </w:rPr>
        <w:t xml:space="preserve">Die „Gnade“ </w:t>
      </w:r>
      <w:r w:rsidR="00B33828">
        <w:rPr>
          <w:sz w:val="24"/>
          <w:szCs w:val="24"/>
        </w:rPr>
        <w:t>ist</w:t>
      </w:r>
      <w:r>
        <w:rPr>
          <w:sz w:val="24"/>
          <w:szCs w:val="24"/>
        </w:rPr>
        <w:t xml:space="preserve"> das Geschenk des </w:t>
      </w:r>
      <w:r>
        <w:rPr>
          <w:i/>
          <w:sz w:val="24"/>
          <w:szCs w:val="24"/>
        </w:rPr>
        <w:t xml:space="preserve">erschienenen </w:t>
      </w:r>
      <w:r>
        <w:rPr>
          <w:sz w:val="24"/>
          <w:szCs w:val="24"/>
        </w:rPr>
        <w:t xml:space="preserve">Messias. Für die Juden, die </w:t>
      </w:r>
      <w:r w:rsidR="003E7160" w:rsidRPr="003E7160">
        <w:rPr>
          <w:i/>
          <w:sz w:val="24"/>
          <w:szCs w:val="24"/>
        </w:rPr>
        <w:t>in Erwartung</w:t>
      </w:r>
      <w:r w:rsidR="003E7160">
        <w:rPr>
          <w:sz w:val="24"/>
          <w:szCs w:val="24"/>
        </w:rPr>
        <w:t xml:space="preserve"> des </w:t>
      </w:r>
      <w:r w:rsidR="00683F7C">
        <w:rPr>
          <w:sz w:val="24"/>
          <w:szCs w:val="24"/>
        </w:rPr>
        <w:t xml:space="preserve">Messias </w:t>
      </w:r>
      <w:r w:rsidR="003E7160">
        <w:rPr>
          <w:sz w:val="24"/>
          <w:szCs w:val="24"/>
        </w:rPr>
        <w:t>leb</w:t>
      </w:r>
      <w:r w:rsidR="00683F7C">
        <w:rPr>
          <w:sz w:val="24"/>
          <w:szCs w:val="24"/>
        </w:rPr>
        <w:t xml:space="preserve">en, </w:t>
      </w:r>
      <w:r w:rsidR="00B33828">
        <w:rPr>
          <w:sz w:val="24"/>
          <w:szCs w:val="24"/>
        </w:rPr>
        <w:t>ist</w:t>
      </w:r>
      <w:r w:rsidR="00683F7C">
        <w:rPr>
          <w:sz w:val="24"/>
          <w:szCs w:val="24"/>
        </w:rPr>
        <w:t xml:space="preserve"> das Geschenk der „Gnade“ deshalb nicht vorstellbar. Eine Orientierung auf das Jenseits</w:t>
      </w:r>
      <w:r w:rsidR="003E7160">
        <w:rPr>
          <w:sz w:val="24"/>
          <w:szCs w:val="24"/>
        </w:rPr>
        <w:t>, auf die Vergebung der Sünden,</w:t>
      </w:r>
      <w:r w:rsidR="00683F7C">
        <w:rPr>
          <w:sz w:val="24"/>
          <w:szCs w:val="24"/>
        </w:rPr>
        <w:t xml:space="preserve"> l</w:t>
      </w:r>
      <w:r w:rsidR="00B33828">
        <w:rPr>
          <w:sz w:val="24"/>
          <w:szCs w:val="24"/>
        </w:rPr>
        <w:t>iegt</w:t>
      </w:r>
      <w:r w:rsidR="00683F7C">
        <w:rPr>
          <w:sz w:val="24"/>
          <w:szCs w:val="24"/>
        </w:rPr>
        <w:t xml:space="preserve"> ihnen fern. – A</w:t>
      </w:r>
      <w:r w:rsidR="00307465">
        <w:rPr>
          <w:sz w:val="24"/>
          <w:szCs w:val="24"/>
        </w:rPr>
        <w:t>ls ob die</w:t>
      </w:r>
      <w:r w:rsidR="00683F7C">
        <w:rPr>
          <w:sz w:val="24"/>
          <w:szCs w:val="24"/>
        </w:rPr>
        <w:t>se</w:t>
      </w:r>
      <w:r w:rsidR="00307465">
        <w:rPr>
          <w:sz w:val="24"/>
          <w:szCs w:val="24"/>
        </w:rPr>
        <w:t xml:space="preserve"> Differenz </w:t>
      </w:r>
      <w:r w:rsidR="00683F7C">
        <w:rPr>
          <w:sz w:val="24"/>
          <w:szCs w:val="24"/>
        </w:rPr>
        <w:t xml:space="preserve">nicht bereits eine strikte Trennlinie </w:t>
      </w:r>
      <w:r w:rsidR="00307465">
        <w:rPr>
          <w:sz w:val="24"/>
          <w:szCs w:val="24"/>
        </w:rPr>
        <w:t xml:space="preserve">zwischen </w:t>
      </w:r>
      <w:r w:rsidR="00C53FEF">
        <w:rPr>
          <w:sz w:val="24"/>
          <w:szCs w:val="24"/>
        </w:rPr>
        <w:t xml:space="preserve">Juden und Christen </w:t>
      </w:r>
      <w:r w:rsidR="00683F7C">
        <w:rPr>
          <w:sz w:val="24"/>
          <w:szCs w:val="24"/>
        </w:rPr>
        <w:t>beinhaltet hätte, mach</w:t>
      </w:r>
      <w:r w:rsidR="00C53FEF">
        <w:rPr>
          <w:sz w:val="24"/>
          <w:szCs w:val="24"/>
        </w:rPr>
        <w:t xml:space="preserve">t </w:t>
      </w:r>
      <w:proofErr w:type="spellStart"/>
      <w:r w:rsidR="00C53FEF">
        <w:rPr>
          <w:sz w:val="24"/>
          <w:szCs w:val="24"/>
        </w:rPr>
        <w:t>Marcu</w:t>
      </w:r>
      <w:proofErr w:type="spellEnd"/>
      <w:r w:rsidR="00C53FEF">
        <w:rPr>
          <w:sz w:val="24"/>
          <w:szCs w:val="24"/>
        </w:rPr>
        <w:t xml:space="preserve"> </w:t>
      </w:r>
      <w:r w:rsidR="00683F7C">
        <w:rPr>
          <w:sz w:val="24"/>
          <w:szCs w:val="24"/>
        </w:rPr>
        <w:lastRenderedPageBreak/>
        <w:t xml:space="preserve">noch auf </w:t>
      </w:r>
      <w:r w:rsidR="00C53FEF">
        <w:rPr>
          <w:sz w:val="24"/>
          <w:szCs w:val="24"/>
        </w:rPr>
        <w:t>ein</w:t>
      </w:r>
      <w:r w:rsidR="00683F7C">
        <w:rPr>
          <w:sz w:val="24"/>
          <w:szCs w:val="24"/>
        </w:rPr>
        <w:t>en</w:t>
      </w:r>
      <w:r w:rsidR="00C53FEF">
        <w:rPr>
          <w:sz w:val="24"/>
          <w:szCs w:val="24"/>
        </w:rPr>
        <w:t xml:space="preserve"> weitere</w:t>
      </w:r>
      <w:r w:rsidR="00683F7C">
        <w:rPr>
          <w:sz w:val="24"/>
          <w:szCs w:val="24"/>
        </w:rPr>
        <w:t>n</w:t>
      </w:r>
      <w:r w:rsidR="00C53FEF">
        <w:rPr>
          <w:sz w:val="24"/>
          <w:szCs w:val="24"/>
        </w:rPr>
        <w:t xml:space="preserve"> A</w:t>
      </w:r>
      <w:r w:rsidR="00683F7C">
        <w:rPr>
          <w:sz w:val="24"/>
          <w:szCs w:val="24"/>
        </w:rPr>
        <w:t>spekt aufmerksam</w:t>
      </w:r>
      <w:r w:rsidR="00107178">
        <w:rPr>
          <w:sz w:val="24"/>
          <w:szCs w:val="24"/>
        </w:rPr>
        <w:t>. Er weist auf die Rolle der Kabbala und der Kabbala-Studien</w:t>
      </w:r>
      <w:r w:rsidR="00683F7C">
        <w:rPr>
          <w:sz w:val="24"/>
          <w:szCs w:val="24"/>
        </w:rPr>
        <w:t xml:space="preserve"> für das Welt- und Wirklichkeitsverständnis der Juden hin. </w:t>
      </w:r>
      <w:proofErr w:type="spellStart"/>
      <w:r w:rsidR="00683F7C">
        <w:rPr>
          <w:sz w:val="24"/>
          <w:szCs w:val="24"/>
        </w:rPr>
        <w:t>Marcu</w:t>
      </w:r>
      <w:proofErr w:type="spellEnd"/>
      <w:r w:rsidR="00683F7C">
        <w:rPr>
          <w:sz w:val="24"/>
          <w:szCs w:val="24"/>
        </w:rPr>
        <w:t xml:space="preserve"> versteht die Kabbala-Studien gleichsam als eine </w:t>
      </w:r>
      <w:r w:rsidR="00107178">
        <w:rPr>
          <w:sz w:val="24"/>
          <w:szCs w:val="24"/>
        </w:rPr>
        <w:t>Reaktion der jüdischen Gemeinschaft auf soziale Ächtung und Diskriminierung</w:t>
      </w:r>
      <w:r w:rsidR="00683F7C">
        <w:rPr>
          <w:sz w:val="24"/>
          <w:szCs w:val="24"/>
        </w:rPr>
        <w:t xml:space="preserve">, als einen Rückzug </w:t>
      </w:r>
      <w:r w:rsidR="00E12E1A">
        <w:rPr>
          <w:sz w:val="24"/>
          <w:szCs w:val="24"/>
        </w:rPr>
        <w:t>auf ein gemeinsames geistiges Fundament</w:t>
      </w:r>
      <w:r w:rsidR="00C53FEF">
        <w:rPr>
          <w:sz w:val="24"/>
          <w:szCs w:val="24"/>
        </w:rPr>
        <w:t>:</w:t>
      </w:r>
    </w:p>
    <w:p w:rsidR="00307465" w:rsidRPr="00307465" w:rsidRDefault="00307465" w:rsidP="00C53FEF">
      <w:pPr>
        <w:spacing w:after="0"/>
        <w:ind w:left="1134"/>
        <w:rPr>
          <w:sz w:val="24"/>
          <w:szCs w:val="24"/>
        </w:rPr>
      </w:pPr>
      <w:r w:rsidRPr="00307465">
        <w:rPr>
          <w:sz w:val="24"/>
          <w:szCs w:val="24"/>
        </w:rPr>
        <w:t xml:space="preserve">„Sie </w:t>
      </w:r>
      <w:r w:rsidR="000037F7">
        <w:rPr>
          <w:sz w:val="24"/>
          <w:szCs w:val="24"/>
        </w:rPr>
        <w:t xml:space="preserve">[die Juden] </w:t>
      </w:r>
      <w:r w:rsidRPr="00307465">
        <w:rPr>
          <w:sz w:val="24"/>
          <w:szCs w:val="24"/>
        </w:rPr>
        <w:t>schlossen sich in die Erwartungen und Deutungen der Kabbala ein.</w:t>
      </w:r>
    </w:p>
    <w:p w:rsidR="00307465" w:rsidRPr="00307465" w:rsidRDefault="00307465" w:rsidP="00C53FEF">
      <w:pPr>
        <w:spacing w:after="0"/>
        <w:ind w:left="1134"/>
        <w:rPr>
          <w:sz w:val="24"/>
          <w:szCs w:val="24"/>
        </w:rPr>
      </w:pPr>
      <w:r w:rsidRPr="00307465">
        <w:rPr>
          <w:sz w:val="24"/>
          <w:szCs w:val="24"/>
        </w:rPr>
        <w:t xml:space="preserve">Die Kabbala war ein mystisches </w:t>
      </w:r>
      <w:r w:rsidR="004E789E">
        <w:rPr>
          <w:sz w:val="24"/>
          <w:szCs w:val="24"/>
        </w:rPr>
        <w:t>Z</w:t>
      </w:r>
      <w:r w:rsidRPr="00307465">
        <w:rPr>
          <w:sz w:val="24"/>
          <w:szCs w:val="24"/>
        </w:rPr>
        <w:t>ahlen-, Dämonen- und Buchstabenlabyrinth, in dem Symbole wie Verstand, Liebe, Recht, Krone, Herrschaft a</w:t>
      </w:r>
      <w:r w:rsidR="004E789E">
        <w:rPr>
          <w:sz w:val="24"/>
          <w:szCs w:val="24"/>
        </w:rPr>
        <w:t>ls</w:t>
      </w:r>
      <w:r w:rsidRPr="00307465">
        <w:rPr>
          <w:sz w:val="24"/>
          <w:szCs w:val="24"/>
        </w:rPr>
        <w:t xml:space="preserve"> Ausstrahlung der Urkraft in der Hexenretorte der Begriffe vermengt wurden, um dann aus dieser abstrakten Masse Ort und Stunde der Befreiung durch den Messias prophezeien zu können.“</w:t>
      </w:r>
      <w:r w:rsidR="004E789E">
        <w:rPr>
          <w:rStyle w:val="Funotenzeichen"/>
          <w:sz w:val="24"/>
          <w:szCs w:val="24"/>
        </w:rPr>
        <w:footnoteReference w:id="22"/>
      </w:r>
      <w:r w:rsidRPr="00307465">
        <w:rPr>
          <w:sz w:val="24"/>
          <w:szCs w:val="24"/>
        </w:rPr>
        <w:t xml:space="preserve"> </w:t>
      </w:r>
    </w:p>
    <w:p w:rsidR="00107178" w:rsidRDefault="00C53FEF" w:rsidP="00BE5500">
      <w:pPr>
        <w:spacing w:after="0"/>
        <w:rPr>
          <w:sz w:val="24"/>
          <w:szCs w:val="24"/>
        </w:rPr>
      </w:pPr>
      <w:r>
        <w:rPr>
          <w:sz w:val="24"/>
          <w:szCs w:val="24"/>
        </w:rPr>
        <w:t xml:space="preserve">Die Kabbala, so die These Marcus, </w:t>
      </w:r>
      <w:r w:rsidR="000037F7">
        <w:rPr>
          <w:sz w:val="24"/>
          <w:szCs w:val="24"/>
        </w:rPr>
        <w:t xml:space="preserve">formt </w:t>
      </w:r>
      <w:r>
        <w:rPr>
          <w:sz w:val="24"/>
          <w:szCs w:val="24"/>
        </w:rPr>
        <w:t xml:space="preserve">eine </w:t>
      </w:r>
      <w:r w:rsidR="000037F7">
        <w:rPr>
          <w:sz w:val="24"/>
          <w:szCs w:val="24"/>
        </w:rPr>
        <w:t>differente</w:t>
      </w:r>
      <w:r w:rsidR="004E789E">
        <w:rPr>
          <w:sz w:val="24"/>
          <w:szCs w:val="24"/>
        </w:rPr>
        <w:t xml:space="preserve"> </w:t>
      </w:r>
      <w:r w:rsidR="000037F7">
        <w:rPr>
          <w:sz w:val="24"/>
          <w:szCs w:val="24"/>
        </w:rPr>
        <w:t>„</w:t>
      </w:r>
      <w:r w:rsidR="004E789E">
        <w:rPr>
          <w:sz w:val="24"/>
          <w:szCs w:val="24"/>
        </w:rPr>
        <w:t>jüdische</w:t>
      </w:r>
      <w:r>
        <w:rPr>
          <w:sz w:val="24"/>
          <w:szCs w:val="24"/>
        </w:rPr>
        <w:t xml:space="preserve"> Welt“, eine </w:t>
      </w:r>
      <w:r w:rsidR="000037F7">
        <w:rPr>
          <w:sz w:val="24"/>
          <w:szCs w:val="24"/>
        </w:rPr>
        <w:t xml:space="preserve">spezifisch </w:t>
      </w:r>
      <w:r w:rsidR="000037F7" w:rsidRPr="000037F7">
        <w:rPr>
          <w:i/>
          <w:sz w:val="24"/>
          <w:szCs w:val="24"/>
        </w:rPr>
        <w:t>andere</w:t>
      </w:r>
      <w:r w:rsidR="003E7160">
        <w:rPr>
          <w:sz w:val="24"/>
          <w:szCs w:val="24"/>
        </w:rPr>
        <w:t>, innerweltliche</w:t>
      </w:r>
      <w:r>
        <w:rPr>
          <w:sz w:val="24"/>
          <w:szCs w:val="24"/>
        </w:rPr>
        <w:t xml:space="preserve"> Form </w:t>
      </w:r>
      <w:r w:rsidR="00B753DC">
        <w:rPr>
          <w:sz w:val="24"/>
          <w:szCs w:val="24"/>
        </w:rPr>
        <w:t>der</w:t>
      </w:r>
      <w:r>
        <w:rPr>
          <w:sz w:val="24"/>
          <w:szCs w:val="24"/>
        </w:rPr>
        <w:t xml:space="preserve"> Wirklichkeit und ihrer Wahrnehmung. Als „Vorstellung der Wirklichkeit“ strukturierte </w:t>
      </w:r>
      <w:r w:rsidR="00B753DC">
        <w:rPr>
          <w:sz w:val="24"/>
          <w:szCs w:val="24"/>
        </w:rPr>
        <w:t>sie</w:t>
      </w:r>
      <w:r>
        <w:rPr>
          <w:sz w:val="24"/>
          <w:szCs w:val="24"/>
        </w:rPr>
        <w:t xml:space="preserve"> </w:t>
      </w:r>
      <w:r w:rsidR="000037F7">
        <w:rPr>
          <w:sz w:val="24"/>
          <w:szCs w:val="24"/>
        </w:rPr>
        <w:t xml:space="preserve">ihrerseits </w:t>
      </w:r>
      <w:r>
        <w:rPr>
          <w:sz w:val="24"/>
          <w:szCs w:val="24"/>
        </w:rPr>
        <w:t>die Realität.</w:t>
      </w:r>
    </w:p>
    <w:p w:rsidR="005309BA" w:rsidRDefault="00A65E88" w:rsidP="00BE5500">
      <w:pPr>
        <w:spacing w:after="0"/>
        <w:rPr>
          <w:sz w:val="24"/>
          <w:szCs w:val="24"/>
        </w:rPr>
      </w:pPr>
      <w:r>
        <w:rPr>
          <w:sz w:val="24"/>
          <w:szCs w:val="24"/>
        </w:rPr>
        <w:tab/>
        <w:t xml:space="preserve">Aus der Kabbala ergab sich für die Juden jedoch zweifelsfrei, dass der </w:t>
      </w:r>
      <w:r w:rsidR="008643F5">
        <w:rPr>
          <w:sz w:val="24"/>
          <w:szCs w:val="24"/>
        </w:rPr>
        <w:t xml:space="preserve">erwartete </w:t>
      </w:r>
      <w:r>
        <w:rPr>
          <w:sz w:val="24"/>
          <w:szCs w:val="24"/>
        </w:rPr>
        <w:t xml:space="preserve">Messias </w:t>
      </w:r>
      <w:r w:rsidR="00AC5A67">
        <w:rPr>
          <w:sz w:val="24"/>
          <w:szCs w:val="24"/>
        </w:rPr>
        <w:t xml:space="preserve">ein </w:t>
      </w:r>
      <w:r w:rsidR="00AC5A67" w:rsidRPr="008643F5">
        <w:rPr>
          <w:i/>
          <w:sz w:val="24"/>
          <w:szCs w:val="24"/>
        </w:rPr>
        <w:t>Erlöser</w:t>
      </w:r>
      <w:r w:rsidR="00AC5A67">
        <w:rPr>
          <w:sz w:val="24"/>
          <w:szCs w:val="24"/>
        </w:rPr>
        <w:t xml:space="preserve">, aber ein </w:t>
      </w:r>
      <w:r w:rsidR="00AC5A67">
        <w:rPr>
          <w:i/>
          <w:sz w:val="24"/>
          <w:szCs w:val="24"/>
        </w:rPr>
        <w:t xml:space="preserve">irdischer </w:t>
      </w:r>
      <w:r w:rsidR="00AC5A67" w:rsidRPr="00AC5A67">
        <w:rPr>
          <w:sz w:val="24"/>
          <w:szCs w:val="24"/>
        </w:rPr>
        <w:t>E</w:t>
      </w:r>
      <w:r w:rsidR="00AC5A67">
        <w:rPr>
          <w:sz w:val="24"/>
          <w:szCs w:val="24"/>
        </w:rPr>
        <w:t xml:space="preserve">rlöser sein würde: </w:t>
      </w:r>
    </w:p>
    <w:p w:rsidR="004E789E" w:rsidRDefault="00E07CA0" w:rsidP="004E789E">
      <w:pPr>
        <w:spacing w:after="0"/>
        <w:ind w:firstLine="1134"/>
        <w:rPr>
          <w:sz w:val="24"/>
          <w:szCs w:val="24"/>
        </w:rPr>
      </w:pPr>
      <w:r w:rsidRPr="00E07CA0">
        <w:rPr>
          <w:sz w:val="24"/>
          <w:szCs w:val="24"/>
        </w:rPr>
        <w:t xml:space="preserve">„Der jüdische Erlöser sollte </w:t>
      </w:r>
      <w:r w:rsidR="00A65E88">
        <w:rPr>
          <w:sz w:val="24"/>
          <w:szCs w:val="24"/>
        </w:rPr>
        <w:t>[…]</w:t>
      </w:r>
      <w:r w:rsidRPr="00E07CA0">
        <w:rPr>
          <w:sz w:val="24"/>
          <w:szCs w:val="24"/>
        </w:rPr>
        <w:t xml:space="preserve"> ein irdischer, kein himmlischer sein.“</w:t>
      </w:r>
      <w:r w:rsidR="004E789E">
        <w:rPr>
          <w:rStyle w:val="Funotenzeichen"/>
          <w:sz w:val="24"/>
          <w:szCs w:val="24"/>
        </w:rPr>
        <w:footnoteReference w:id="23"/>
      </w:r>
      <w:r w:rsidRPr="00E07CA0">
        <w:rPr>
          <w:sz w:val="24"/>
          <w:szCs w:val="24"/>
        </w:rPr>
        <w:t xml:space="preserve"> </w:t>
      </w:r>
    </w:p>
    <w:p w:rsidR="00107178" w:rsidRDefault="00107178" w:rsidP="00107178">
      <w:pPr>
        <w:spacing w:after="0"/>
        <w:rPr>
          <w:sz w:val="24"/>
          <w:szCs w:val="24"/>
        </w:rPr>
      </w:pPr>
      <w:proofErr w:type="spellStart"/>
      <w:r>
        <w:rPr>
          <w:sz w:val="24"/>
          <w:szCs w:val="24"/>
        </w:rPr>
        <w:t>Marcu</w:t>
      </w:r>
      <w:proofErr w:type="spellEnd"/>
      <w:r>
        <w:rPr>
          <w:sz w:val="24"/>
          <w:szCs w:val="24"/>
        </w:rPr>
        <w:t xml:space="preserve"> führt dazu die </w:t>
      </w:r>
      <w:r w:rsidR="00AC5A67">
        <w:rPr>
          <w:sz w:val="24"/>
          <w:szCs w:val="24"/>
        </w:rPr>
        <w:t xml:space="preserve">entsprechende </w:t>
      </w:r>
      <w:r>
        <w:rPr>
          <w:sz w:val="24"/>
          <w:szCs w:val="24"/>
        </w:rPr>
        <w:t xml:space="preserve">Stellungnahme eines Rabbiners </w:t>
      </w:r>
      <w:r w:rsidR="00FE6E8E">
        <w:rPr>
          <w:sz w:val="24"/>
          <w:szCs w:val="24"/>
        </w:rPr>
        <w:t>an</w:t>
      </w:r>
      <w:r>
        <w:rPr>
          <w:sz w:val="24"/>
          <w:szCs w:val="24"/>
        </w:rPr>
        <w:t>:</w:t>
      </w:r>
    </w:p>
    <w:p w:rsidR="00107178" w:rsidRDefault="00FE6E8E" w:rsidP="00FE6E8E">
      <w:pPr>
        <w:spacing w:after="0"/>
        <w:ind w:left="1134"/>
        <w:rPr>
          <w:sz w:val="24"/>
          <w:szCs w:val="24"/>
        </w:rPr>
      </w:pPr>
      <w:r>
        <w:rPr>
          <w:sz w:val="24"/>
          <w:szCs w:val="24"/>
        </w:rPr>
        <w:t>„‚</w:t>
      </w:r>
      <w:proofErr w:type="spellStart"/>
      <w:r>
        <w:rPr>
          <w:sz w:val="24"/>
          <w:szCs w:val="24"/>
        </w:rPr>
        <w:t>Daß</w:t>
      </w:r>
      <w:proofErr w:type="spellEnd"/>
      <w:r>
        <w:rPr>
          <w:sz w:val="24"/>
          <w:szCs w:val="24"/>
        </w:rPr>
        <w:t xml:space="preserve"> der Schöpfer des Himmels und der Erde […] in einer Jüdin Leib zu Fleisch wird, als Säugling zur Welt kommt, heranwächst,</w:t>
      </w:r>
      <w:r w:rsidR="00AC5A67">
        <w:rPr>
          <w:sz w:val="24"/>
          <w:szCs w:val="24"/>
        </w:rPr>
        <w:t xml:space="preserve"> </w:t>
      </w:r>
      <w:r>
        <w:rPr>
          <w:sz w:val="24"/>
          <w:szCs w:val="24"/>
        </w:rPr>
        <w:t>um seinen Feinden überliefert und zum Tode verurteilt zu werden, nur damit er schließlich auferstehe und wieder in seinen göttlichen Zustand zurückkehre, diese Umwege sind für die Vernunft eines Juden unvorstellbar.‘“</w:t>
      </w:r>
      <w:r>
        <w:rPr>
          <w:rStyle w:val="Funotenzeichen"/>
          <w:sz w:val="24"/>
          <w:szCs w:val="24"/>
        </w:rPr>
        <w:footnoteReference w:id="24"/>
      </w:r>
    </w:p>
    <w:p w:rsidR="00AC5A67" w:rsidRDefault="00AC5A67" w:rsidP="004E789E">
      <w:pPr>
        <w:spacing w:after="0"/>
        <w:rPr>
          <w:sz w:val="24"/>
          <w:szCs w:val="24"/>
        </w:rPr>
      </w:pPr>
      <w:r>
        <w:rPr>
          <w:sz w:val="24"/>
          <w:szCs w:val="24"/>
        </w:rPr>
        <w:t>Die Vorstellung vom „himmlischen“ und die vom „irdischen“ Erlöser trennte also Juden und Christen.</w:t>
      </w:r>
      <w:r w:rsidR="008643F5">
        <w:rPr>
          <w:sz w:val="24"/>
          <w:szCs w:val="24"/>
        </w:rPr>
        <w:t xml:space="preserve"> Sie ist auch konstitutiv für zwei völlig differente Denk- und Gefühlssysteme.</w:t>
      </w:r>
    </w:p>
    <w:p w:rsidR="00D0104A" w:rsidRDefault="00AC5A67" w:rsidP="004E789E">
      <w:pPr>
        <w:spacing w:after="0"/>
        <w:rPr>
          <w:sz w:val="24"/>
          <w:szCs w:val="24"/>
        </w:rPr>
      </w:pPr>
      <w:r>
        <w:rPr>
          <w:sz w:val="24"/>
          <w:szCs w:val="24"/>
        </w:rPr>
        <w:tab/>
      </w:r>
      <w:proofErr w:type="spellStart"/>
      <w:r>
        <w:rPr>
          <w:sz w:val="24"/>
          <w:szCs w:val="24"/>
        </w:rPr>
        <w:t>Marcu</w:t>
      </w:r>
      <w:proofErr w:type="spellEnd"/>
      <w:r>
        <w:rPr>
          <w:sz w:val="24"/>
          <w:szCs w:val="24"/>
        </w:rPr>
        <w:t xml:space="preserve"> weist darauf hin, dass die Juden, </w:t>
      </w:r>
      <w:r w:rsidR="008643F5">
        <w:rPr>
          <w:sz w:val="24"/>
          <w:szCs w:val="24"/>
        </w:rPr>
        <w:t xml:space="preserve">gerade </w:t>
      </w:r>
      <w:r>
        <w:rPr>
          <w:sz w:val="24"/>
          <w:szCs w:val="24"/>
        </w:rPr>
        <w:t>w</w:t>
      </w:r>
      <w:r w:rsidR="00D0104A">
        <w:rPr>
          <w:sz w:val="24"/>
          <w:szCs w:val="24"/>
        </w:rPr>
        <w:t xml:space="preserve">eil </w:t>
      </w:r>
      <w:r>
        <w:rPr>
          <w:sz w:val="24"/>
          <w:szCs w:val="24"/>
        </w:rPr>
        <w:t>ihr</w:t>
      </w:r>
      <w:r w:rsidR="00D0104A">
        <w:rPr>
          <w:sz w:val="24"/>
          <w:szCs w:val="24"/>
        </w:rPr>
        <w:t xml:space="preserve">e Erwartung auf einen </w:t>
      </w:r>
      <w:r w:rsidR="00D0104A" w:rsidRPr="00AC5A67">
        <w:rPr>
          <w:i/>
          <w:sz w:val="24"/>
          <w:szCs w:val="24"/>
        </w:rPr>
        <w:t xml:space="preserve">irdischen </w:t>
      </w:r>
      <w:r w:rsidR="00D0104A">
        <w:rPr>
          <w:sz w:val="24"/>
          <w:szCs w:val="24"/>
        </w:rPr>
        <w:t xml:space="preserve">Messias ausgerichtet </w:t>
      </w:r>
      <w:r w:rsidR="008643F5">
        <w:rPr>
          <w:sz w:val="24"/>
          <w:szCs w:val="24"/>
        </w:rPr>
        <w:t>ist</w:t>
      </w:r>
      <w:r w:rsidR="00D0104A">
        <w:rPr>
          <w:sz w:val="24"/>
          <w:szCs w:val="24"/>
        </w:rPr>
        <w:t xml:space="preserve">, </w:t>
      </w:r>
      <w:r w:rsidR="002B2D46">
        <w:rPr>
          <w:sz w:val="24"/>
          <w:szCs w:val="24"/>
        </w:rPr>
        <w:t xml:space="preserve">im Verlaufe der Geschichte immer wieder </w:t>
      </w:r>
      <w:r w:rsidR="00D0104A">
        <w:rPr>
          <w:sz w:val="24"/>
          <w:szCs w:val="24"/>
        </w:rPr>
        <w:t>anfällig für Betrüger</w:t>
      </w:r>
      <w:r>
        <w:rPr>
          <w:sz w:val="24"/>
          <w:szCs w:val="24"/>
        </w:rPr>
        <w:t xml:space="preserve"> </w:t>
      </w:r>
      <w:r w:rsidR="008643F5">
        <w:rPr>
          <w:sz w:val="24"/>
          <w:szCs w:val="24"/>
        </w:rPr>
        <w:t>ge</w:t>
      </w:r>
      <w:r>
        <w:rPr>
          <w:sz w:val="24"/>
          <w:szCs w:val="24"/>
        </w:rPr>
        <w:t>w</w:t>
      </w:r>
      <w:r w:rsidR="008643F5">
        <w:rPr>
          <w:sz w:val="24"/>
          <w:szCs w:val="24"/>
        </w:rPr>
        <w:t>o</w:t>
      </w:r>
      <w:r>
        <w:rPr>
          <w:sz w:val="24"/>
          <w:szCs w:val="24"/>
        </w:rPr>
        <w:t>rden</w:t>
      </w:r>
      <w:r w:rsidR="008643F5">
        <w:rPr>
          <w:sz w:val="24"/>
          <w:szCs w:val="24"/>
        </w:rPr>
        <w:t xml:space="preserve"> sind</w:t>
      </w:r>
      <w:r w:rsidR="00D0104A">
        <w:rPr>
          <w:sz w:val="24"/>
          <w:szCs w:val="24"/>
        </w:rPr>
        <w:t>, die sich zum Messias e</w:t>
      </w:r>
      <w:r w:rsidR="009836A3">
        <w:rPr>
          <w:sz w:val="24"/>
          <w:szCs w:val="24"/>
        </w:rPr>
        <w:t>r</w:t>
      </w:r>
      <w:r w:rsidR="00D0104A">
        <w:rPr>
          <w:sz w:val="24"/>
          <w:szCs w:val="24"/>
        </w:rPr>
        <w:t>klärten</w:t>
      </w:r>
      <w:r w:rsidR="008643F5">
        <w:rPr>
          <w:sz w:val="24"/>
          <w:szCs w:val="24"/>
        </w:rPr>
        <w:t xml:space="preserve"> – und dies trotz der Rationalität der Talmud-Exegese</w:t>
      </w:r>
      <w:r w:rsidR="00D0104A">
        <w:rPr>
          <w:sz w:val="24"/>
          <w:szCs w:val="24"/>
        </w:rPr>
        <w:t>:</w:t>
      </w:r>
    </w:p>
    <w:p w:rsidR="00E07CA0" w:rsidRPr="00E07CA0" w:rsidRDefault="00E07CA0" w:rsidP="00D0104A">
      <w:pPr>
        <w:spacing w:after="0"/>
        <w:ind w:left="1134"/>
        <w:rPr>
          <w:sz w:val="24"/>
          <w:szCs w:val="24"/>
        </w:rPr>
      </w:pPr>
      <w:r w:rsidRPr="00E07CA0">
        <w:rPr>
          <w:sz w:val="24"/>
          <w:szCs w:val="24"/>
        </w:rPr>
        <w:t xml:space="preserve">„Trotzdem die </w:t>
      </w:r>
      <w:proofErr w:type="spellStart"/>
      <w:r w:rsidRPr="00E07CA0">
        <w:rPr>
          <w:sz w:val="24"/>
          <w:szCs w:val="24"/>
        </w:rPr>
        <w:t>Rabbanen</w:t>
      </w:r>
      <w:proofErr w:type="spellEnd"/>
      <w:r w:rsidRPr="00E07CA0">
        <w:rPr>
          <w:sz w:val="24"/>
          <w:szCs w:val="24"/>
        </w:rPr>
        <w:t xml:space="preserve"> vor Propheten warnten, trotzdem der Talmud keine Extragnade kennt und jeden, der Gott gesprochen haben will, zum Betrüger stempelt, verfiel die Judenschaft oft banalsten Wundermännern, die sich für Messias ausgaben, oder Ort und Zeit seines Erscheinens ankündigten. </w:t>
      </w:r>
      <w:r w:rsidRPr="008643F5">
        <w:rPr>
          <w:i/>
          <w:sz w:val="24"/>
          <w:szCs w:val="24"/>
        </w:rPr>
        <w:t>Die Juden hatten immer Grund eine bessere Existenz zu ersehnen.</w:t>
      </w:r>
      <w:r w:rsidRPr="00E07CA0">
        <w:rPr>
          <w:sz w:val="24"/>
          <w:szCs w:val="24"/>
        </w:rPr>
        <w:t>“</w:t>
      </w:r>
      <w:r w:rsidR="008F4627">
        <w:rPr>
          <w:rStyle w:val="Funotenzeichen"/>
          <w:sz w:val="24"/>
          <w:szCs w:val="24"/>
        </w:rPr>
        <w:footnoteReference w:id="25"/>
      </w:r>
      <w:r w:rsidRPr="00E07CA0">
        <w:rPr>
          <w:sz w:val="24"/>
          <w:szCs w:val="24"/>
        </w:rPr>
        <w:t xml:space="preserve"> </w:t>
      </w:r>
    </w:p>
    <w:p w:rsidR="00637EE9" w:rsidRDefault="009836A3" w:rsidP="005309BA">
      <w:pPr>
        <w:spacing w:after="0"/>
        <w:rPr>
          <w:sz w:val="24"/>
          <w:szCs w:val="24"/>
        </w:rPr>
      </w:pPr>
      <w:proofErr w:type="spellStart"/>
      <w:r>
        <w:rPr>
          <w:sz w:val="24"/>
          <w:szCs w:val="24"/>
        </w:rPr>
        <w:t>Marcu</w:t>
      </w:r>
      <w:proofErr w:type="spellEnd"/>
      <w:r>
        <w:rPr>
          <w:sz w:val="24"/>
          <w:szCs w:val="24"/>
        </w:rPr>
        <w:t xml:space="preserve"> </w:t>
      </w:r>
      <w:r w:rsidR="00197A5F">
        <w:rPr>
          <w:sz w:val="24"/>
          <w:szCs w:val="24"/>
        </w:rPr>
        <w:t xml:space="preserve">benennt </w:t>
      </w:r>
      <w:r w:rsidR="002B2D46">
        <w:rPr>
          <w:sz w:val="24"/>
          <w:szCs w:val="24"/>
        </w:rPr>
        <w:t xml:space="preserve">damit </w:t>
      </w:r>
      <w:r w:rsidR="00197A5F">
        <w:rPr>
          <w:sz w:val="24"/>
          <w:szCs w:val="24"/>
        </w:rPr>
        <w:t xml:space="preserve">offen </w:t>
      </w:r>
      <w:r w:rsidR="00AC5A67">
        <w:rPr>
          <w:sz w:val="24"/>
          <w:szCs w:val="24"/>
        </w:rPr>
        <w:t>di</w:t>
      </w:r>
      <w:r w:rsidR="00197A5F">
        <w:rPr>
          <w:sz w:val="24"/>
          <w:szCs w:val="24"/>
        </w:rPr>
        <w:t>e Schwäche der jüdischen Gemeinschaft</w:t>
      </w:r>
      <w:r w:rsidR="00B633E6">
        <w:rPr>
          <w:sz w:val="24"/>
          <w:szCs w:val="24"/>
        </w:rPr>
        <w:t>,</w:t>
      </w:r>
      <w:r w:rsidR="00AC5A67">
        <w:rPr>
          <w:sz w:val="24"/>
          <w:szCs w:val="24"/>
        </w:rPr>
        <w:t xml:space="preserve"> die Anfälligkeit</w:t>
      </w:r>
      <w:r w:rsidR="00197A5F">
        <w:rPr>
          <w:sz w:val="24"/>
          <w:szCs w:val="24"/>
        </w:rPr>
        <w:t xml:space="preserve"> </w:t>
      </w:r>
      <w:r w:rsidR="00AC5A67">
        <w:rPr>
          <w:sz w:val="24"/>
          <w:szCs w:val="24"/>
        </w:rPr>
        <w:t>für Scharlatanerie. D</w:t>
      </w:r>
      <w:r w:rsidR="00B21109">
        <w:rPr>
          <w:sz w:val="24"/>
          <w:szCs w:val="24"/>
        </w:rPr>
        <w:t>i</w:t>
      </w:r>
      <w:r w:rsidR="00197A5F">
        <w:rPr>
          <w:sz w:val="24"/>
          <w:szCs w:val="24"/>
        </w:rPr>
        <w:t xml:space="preserve">e </w:t>
      </w:r>
      <w:r w:rsidR="00B21109">
        <w:rPr>
          <w:sz w:val="24"/>
          <w:szCs w:val="24"/>
        </w:rPr>
        <w:t>Ursache</w:t>
      </w:r>
      <w:r w:rsidR="00197A5F">
        <w:rPr>
          <w:sz w:val="24"/>
          <w:szCs w:val="24"/>
        </w:rPr>
        <w:t xml:space="preserve"> dieser Schwäche</w:t>
      </w:r>
      <w:r w:rsidR="00AC5A67">
        <w:rPr>
          <w:sz w:val="24"/>
          <w:szCs w:val="24"/>
        </w:rPr>
        <w:t xml:space="preserve"> ist</w:t>
      </w:r>
      <w:r w:rsidR="00197A5F">
        <w:rPr>
          <w:sz w:val="24"/>
          <w:szCs w:val="24"/>
        </w:rPr>
        <w:t xml:space="preserve"> </w:t>
      </w:r>
      <w:r w:rsidR="00637EE9">
        <w:rPr>
          <w:sz w:val="24"/>
          <w:szCs w:val="24"/>
        </w:rPr>
        <w:t>d</w:t>
      </w:r>
      <w:r w:rsidR="000037F7">
        <w:rPr>
          <w:sz w:val="24"/>
          <w:szCs w:val="24"/>
        </w:rPr>
        <w:t>as</w:t>
      </w:r>
      <w:r w:rsidR="002B2D46">
        <w:rPr>
          <w:sz w:val="24"/>
          <w:szCs w:val="24"/>
        </w:rPr>
        <w:t xml:space="preserve"> </w:t>
      </w:r>
      <w:r w:rsidR="00637EE9">
        <w:rPr>
          <w:sz w:val="24"/>
          <w:szCs w:val="24"/>
        </w:rPr>
        <w:t xml:space="preserve">soziale </w:t>
      </w:r>
      <w:r w:rsidR="000037F7">
        <w:rPr>
          <w:sz w:val="24"/>
          <w:szCs w:val="24"/>
        </w:rPr>
        <w:t>Elend</w:t>
      </w:r>
      <w:r w:rsidR="00AC5A67">
        <w:rPr>
          <w:sz w:val="24"/>
          <w:szCs w:val="24"/>
        </w:rPr>
        <w:t xml:space="preserve">, </w:t>
      </w:r>
      <w:r w:rsidR="008643F5">
        <w:rPr>
          <w:sz w:val="24"/>
          <w:szCs w:val="24"/>
        </w:rPr>
        <w:t xml:space="preserve">Triebkraft für die </w:t>
      </w:r>
      <w:r w:rsidR="00AC5A67">
        <w:rPr>
          <w:sz w:val="24"/>
          <w:szCs w:val="24"/>
        </w:rPr>
        <w:t>stets präsente Hoffnung auf Besserung der sozialen und rechtlichen Situation.</w:t>
      </w:r>
    </w:p>
    <w:p w:rsidR="00637EE9" w:rsidRDefault="00637EE9" w:rsidP="005309BA">
      <w:pPr>
        <w:spacing w:after="0"/>
        <w:rPr>
          <w:sz w:val="24"/>
          <w:szCs w:val="24"/>
        </w:rPr>
      </w:pPr>
    </w:p>
    <w:p w:rsidR="00637EE9" w:rsidRDefault="00637EE9" w:rsidP="005309BA">
      <w:pPr>
        <w:spacing w:after="0"/>
        <w:rPr>
          <w:sz w:val="24"/>
          <w:szCs w:val="24"/>
        </w:rPr>
      </w:pPr>
      <w:r>
        <w:rPr>
          <w:sz w:val="24"/>
          <w:szCs w:val="24"/>
        </w:rPr>
        <w:tab/>
        <w:t xml:space="preserve">Das zweite Thema, auf das </w:t>
      </w:r>
      <w:proofErr w:type="spellStart"/>
      <w:r>
        <w:rPr>
          <w:sz w:val="24"/>
          <w:szCs w:val="24"/>
        </w:rPr>
        <w:t>Marcu</w:t>
      </w:r>
      <w:proofErr w:type="spellEnd"/>
      <w:r>
        <w:rPr>
          <w:sz w:val="24"/>
          <w:szCs w:val="24"/>
        </w:rPr>
        <w:t xml:space="preserve"> im Zusammenhang der Disputation von </w:t>
      </w:r>
      <w:proofErr w:type="spellStart"/>
      <w:r>
        <w:rPr>
          <w:sz w:val="24"/>
          <w:szCs w:val="24"/>
        </w:rPr>
        <w:t>Tortosa</w:t>
      </w:r>
      <w:proofErr w:type="spellEnd"/>
      <w:r>
        <w:rPr>
          <w:sz w:val="24"/>
          <w:szCs w:val="24"/>
        </w:rPr>
        <w:t xml:space="preserve"> die Aufmerksamkeit lenkt, ist die </w:t>
      </w:r>
      <w:r w:rsidR="00471FF7">
        <w:rPr>
          <w:sz w:val="24"/>
          <w:szCs w:val="24"/>
        </w:rPr>
        <w:t xml:space="preserve">verhängnisvolle </w:t>
      </w:r>
      <w:r>
        <w:rPr>
          <w:sz w:val="24"/>
          <w:szCs w:val="24"/>
        </w:rPr>
        <w:t xml:space="preserve">Rolle der jüdischen Orthodoxie angesichts </w:t>
      </w:r>
      <w:r w:rsidR="000037F7">
        <w:rPr>
          <w:sz w:val="24"/>
          <w:szCs w:val="24"/>
        </w:rPr>
        <w:t>ein</w:t>
      </w:r>
      <w:r>
        <w:rPr>
          <w:sz w:val="24"/>
          <w:szCs w:val="24"/>
        </w:rPr>
        <w:t>er Situation</w:t>
      </w:r>
      <w:r w:rsidR="000037F7">
        <w:rPr>
          <w:sz w:val="24"/>
          <w:szCs w:val="24"/>
        </w:rPr>
        <w:t xml:space="preserve">, die durch </w:t>
      </w:r>
      <w:r>
        <w:rPr>
          <w:sz w:val="24"/>
          <w:szCs w:val="24"/>
        </w:rPr>
        <w:t>Diskriminierung und wirtschaftliche Ausbeutung</w:t>
      </w:r>
      <w:r w:rsidR="000037F7">
        <w:rPr>
          <w:sz w:val="24"/>
          <w:szCs w:val="24"/>
        </w:rPr>
        <w:t xml:space="preserve"> gekennzeichnet </w:t>
      </w:r>
      <w:r w:rsidR="000037F7">
        <w:rPr>
          <w:sz w:val="24"/>
          <w:szCs w:val="24"/>
        </w:rPr>
        <w:lastRenderedPageBreak/>
        <w:t>ist</w:t>
      </w:r>
      <w:r>
        <w:rPr>
          <w:sz w:val="24"/>
          <w:szCs w:val="24"/>
        </w:rPr>
        <w:t>.</w:t>
      </w:r>
      <w:r>
        <w:rPr>
          <w:rStyle w:val="Funotenzeichen"/>
          <w:sz w:val="24"/>
          <w:szCs w:val="24"/>
        </w:rPr>
        <w:footnoteReference w:id="26"/>
      </w:r>
      <w:r w:rsidR="00397A79">
        <w:rPr>
          <w:sz w:val="24"/>
          <w:szCs w:val="24"/>
        </w:rPr>
        <w:t xml:space="preserve"> </w:t>
      </w:r>
      <w:proofErr w:type="spellStart"/>
      <w:r w:rsidR="002B2D46">
        <w:rPr>
          <w:sz w:val="24"/>
          <w:szCs w:val="24"/>
        </w:rPr>
        <w:t>Marcu</w:t>
      </w:r>
      <w:proofErr w:type="spellEnd"/>
      <w:r>
        <w:rPr>
          <w:sz w:val="24"/>
          <w:szCs w:val="24"/>
        </w:rPr>
        <w:t xml:space="preserve"> </w:t>
      </w:r>
      <w:r w:rsidR="00E442E1">
        <w:rPr>
          <w:sz w:val="24"/>
          <w:szCs w:val="24"/>
        </w:rPr>
        <w:t>urteil</w:t>
      </w:r>
      <w:r>
        <w:rPr>
          <w:sz w:val="24"/>
          <w:szCs w:val="24"/>
        </w:rPr>
        <w:t>t über die Rabbiner mit Härte</w:t>
      </w:r>
      <w:r w:rsidR="00397A79">
        <w:rPr>
          <w:sz w:val="24"/>
          <w:szCs w:val="24"/>
        </w:rPr>
        <w:t>.</w:t>
      </w:r>
      <w:r>
        <w:rPr>
          <w:sz w:val="24"/>
          <w:szCs w:val="24"/>
        </w:rPr>
        <w:t xml:space="preserve"> Er macht ihnen den Vorwurf, die jüdische Gemeinschaft </w:t>
      </w:r>
      <w:r w:rsidR="00397A79">
        <w:rPr>
          <w:sz w:val="24"/>
          <w:szCs w:val="24"/>
        </w:rPr>
        <w:t xml:space="preserve">zu isolieren und </w:t>
      </w:r>
      <w:r>
        <w:rPr>
          <w:sz w:val="24"/>
          <w:szCs w:val="24"/>
        </w:rPr>
        <w:t>von der intellektuellen Welt der Moderne</w:t>
      </w:r>
      <w:r w:rsidR="00397A79">
        <w:rPr>
          <w:sz w:val="24"/>
          <w:szCs w:val="24"/>
        </w:rPr>
        <w:t>, speziell der der Renaissance, abzugrenzen</w:t>
      </w:r>
      <w:r w:rsidR="006B1C54">
        <w:rPr>
          <w:sz w:val="24"/>
          <w:szCs w:val="24"/>
        </w:rPr>
        <w:t xml:space="preserve">. Für </w:t>
      </w:r>
      <w:proofErr w:type="spellStart"/>
      <w:r w:rsidR="006B1C54">
        <w:rPr>
          <w:sz w:val="24"/>
          <w:szCs w:val="24"/>
        </w:rPr>
        <w:t>Marcu</w:t>
      </w:r>
      <w:proofErr w:type="spellEnd"/>
      <w:r w:rsidR="006B1C54">
        <w:rPr>
          <w:sz w:val="24"/>
          <w:szCs w:val="24"/>
        </w:rPr>
        <w:t xml:space="preserve"> handelt es sich </w:t>
      </w:r>
      <w:r w:rsidR="002B2D46">
        <w:rPr>
          <w:sz w:val="24"/>
          <w:szCs w:val="24"/>
        </w:rPr>
        <w:t xml:space="preserve">hier </w:t>
      </w:r>
      <w:r w:rsidR="006B1C54">
        <w:rPr>
          <w:sz w:val="24"/>
          <w:szCs w:val="24"/>
        </w:rPr>
        <w:t>um den Missbrauch von Autorität</w:t>
      </w:r>
      <w:r w:rsidR="00397A79">
        <w:rPr>
          <w:sz w:val="24"/>
          <w:szCs w:val="24"/>
        </w:rPr>
        <w:t>:</w:t>
      </w:r>
    </w:p>
    <w:p w:rsidR="0054454C" w:rsidRPr="003F046F" w:rsidRDefault="0054454C" w:rsidP="0054454C">
      <w:pPr>
        <w:spacing w:after="0"/>
        <w:ind w:left="1134"/>
        <w:rPr>
          <w:sz w:val="24"/>
          <w:szCs w:val="24"/>
        </w:rPr>
      </w:pPr>
      <w:r w:rsidRPr="003F046F">
        <w:rPr>
          <w:sz w:val="24"/>
          <w:szCs w:val="24"/>
        </w:rPr>
        <w:t xml:space="preserve">„Nach innen aber nutzten die </w:t>
      </w:r>
      <w:proofErr w:type="spellStart"/>
      <w:r w:rsidRPr="003F046F">
        <w:rPr>
          <w:sz w:val="24"/>
          <w:szCs w:val="24"/>
        </w:rPr>
        <w:t>Rabbanen</w:t>
      </w:r>
      <w:proofErr w:type="spellEnd"/>
      <w:r w:rsidRPr="003F046F">
        <w:rPr>
          <w:sz w:val="24"/>
          <w:szCs w:val="24"/>
        </w:rPr>
        <w:t xml:space="preserve"> ihre politische, moralische, wirtschaftliche und gesellschaftliche Stellung aus, um aus jedem Juden einen ewigen seelischen Fremdling im Abendlande zu machen. Sie polsterten die Ghettomauern mit Orthodoxie aus, auf </w:t>
      </w:r>
      <w:proofErr w:type="spellStart"/>
      <w:r w:rsidRPr="003F046F">
        <w:rPr>
          <w:sz w:val="24"/>
          <w:szCs w:val="24"/>
        </w:rPr>
        <w:t>daß</w:t>
      </w:r>
      <w:proofErr w:type="spellEnd"/>
      <w:r w:rsidRPr="003F046F">
        <w:rPr>
          <w:sz w:val="24"/>
          <w:szCs w:val="24"/>
        </w:rPr>
        <w:t xml:space="preserve"> kein Laut der intellektuellen Veränderungen aus der christlichen Welt eindringe.</w:t>
      </w:r>
    </w:p>
    <w:p w:rsidR="0054454C" w:rsidRPr="003F046F" w:rsidRDefault="0054454C" w:rsidP="00397A79">
      <w:pPr>
        <w:spacing w:after="0"/>
        <w:ind w:left="1134"/>
        <w:rPr>
          <w:sz w:val="24"/>
          <w:szCs w:val="24"/>
        </w:rPr>
      </w:pPr>
      <w:r w:rsidRPr="003F046F">
        <w:rPr>
          <w:sz w:val="24"/>
          <w:szCs w:val="24"/>
        </w:rPr>
        <w:t xml:space="preserve">Sie sahen die keusche träumerische Tochter Zions von satyrähnlichen arabischen und griechischen Philosophen bedroht, sie hören, wie die </w:t>
      </w:r>
      <w:proofErr w:type="spellStart"/>
      <w:r w:rsidRPr="003F046F">
        <w:rPr>
          <w:sz w:val="24"/>
          <w:szCs w:val="24"/>
        </w:rPr>
        <w:t>Davidspalmen</w:t>
      </w:r>
      <w:proofErr w:type="spellEnd"/>
      <w:r w:rsidRPr="003F046F">
        <w:rPr>
          <w:sz w:val="24"/>
          <w:szCs w:val="24"/>
        </w:rPr>
        <w:t xml:space="preserve"> von sokratischen Gesprächen und aristotelischen Begriffsbestimmungen gestört wurden. Sie zitterten bei dem Gedanken, man könnte Abraham und </w:t>
      </w:r>
      <w:proofErr w:type="spellStart"/>
      <w:r w:rsidRPr="003F046F">
        <w:rPr>
          <w:sz w:val="24"/>
          <w:szCs w:val="24"/>
        </w:rPr>
        <w:t>Sahrah</w:t>
      </w:r>
      <w:proofErr w:type="spellEnd"/>
      <w:r w:rsidRPr="003F046F">
        <w:rPr>
          <w:sz w:val="24"/>
          <w:szCs w:val="24"/>
        </w:rPr>
        <w:t>, die Stammeltern aller Juden, zu bloßen Symbolen degradiere.“</w:t>
      </w:r>
      <w:r w:rsidR="007F28F4">
        <w:rPr>
          <w:rStyle w:val="Funotenzeichen"/>
          <w:sz w:val="24"/>
          <w:szCs w:val="24"/>
        </w:rPr>
        <w:footnoteReference w:id="27"/>
      </w:r>
      <w:r w:rsidRPr="003F046F">
        <w:rPr>
          <w:sz w:val="24"/>
          <w:szCs w:val="24"/>
        </w:rPr>
        <w:t xml:space="preserve"> </w:t>
      </w:r>
    </w:p>
    <w:p w:rsidR="00637EE9" w:rsidRDefault="00397A79" w:rsidP="005309BA">
      <w:pPr>
        <w:spacing w:after="0"/>
        <w:rPr>
          <w:sz w:val="24"/>
          <w:szCs w:val="24"/>
        </w:rPr>
      </w:pPr>
      <w:proofErr w:type="spellStart"/>
      <w:r>
        <w:rPr>
          <w:sz w:val="24"/>
          <w:szCs w:val="24"/>
        </w:rPr>
        <w:t>Marcu</w:t>
      </w:r>
      <w:proofErr w:type="spellEnd"/>
      <w:r>
        <w:rPr>
          <w:sz w:val="24"/>
          <w:szCs w:val="24"/>
        </w:rPr>
        <w:t xml:space="preserve"> zitiert in diesem Zusammenhang einen für die Haltung </w:t>
      </w:r>
      <w:r w:rsidR="006B1C54">
        <w:rPr>
          <w:sz w:val="24"/>
          <w:szCs w:val="24"/>
        </w:rPr>
        <w:t xml:space="preserve">der rabbinischen Orthodoxie </w:t>
      </w:r>
      <w:r>
        <w:rPr>
          <w:sz w:val="24"/>
          <w:szCs w:val="24"/>
        </w:rPr>
        <w:t>charakteristischen Bannfluch der Synagoge von Barcelona</w:t>
      </w:r>
      <w:r w:rsidR="003A7EAE">
        <w:rPr>
          <w:sz w:val="24"/>
          <w:szCs w:val="24"/>
        </w:rPr>
        <w:t>, der speziell die junge Generation von der Beschäftigung mit der antiken Literatur und Philosophie ausschließt</w:t>
      </w:r>
      <w:r>
        <w:rPr>
          <w:sz w:val="24"/>
          <w:szCs w:val="24"/>
        </w:rPr>
        <w:t>:</w:t>
      </w:r>
    </w:p>
    <w:p w:rsidR="00397A79" w:rsidRDefault="00397A79" w:rsidP="00397A79">
      <w:pPr>
        <w:spacing w:after="0"/>
        <w:ind w:left="1134"/>
        <w:rPr>
          <w:sz w:val="24"/>
          <w:szCs w:val="24"/>
        </w:rPr>
      </w:pPr>
      <w:r>
        <w:rPr>
          <w:sz w:val="24"/>
          <w:szCs w:val="24"/>
        </w:rPr>
        <w:t xml:space="preserve">„‚Es geht nicht an, […] </w:t>
      </w:r>
      <w:proofErr w:type="spellStart"/>
      <w:r>
        <w:rPr>
          <w:sz w:val="24"/>
          <w:szCs w:val="24"/>
        </w:rPr>
        <w:t>daß</w:t>
      </w:r>
      <w:proofErr w:type="spellEnd"/>
      <w:r>
        <w:rPr>
          <w:sz w:val="24"/>
          <w:szCs w:val="24"/>
        </w:rPr>
        <w:t xml:space="preserve"> auf Einbildung und sinnliche Wahrnehmung gegründetes Wissen mit der Allwissenheit Gottes in eine Reihe gestellt werde. Der staubgeborene Mensch darf sich nicht anmaßen, seinen Schöpfer zu beurteilen …‘</w:t>
      </w:r>
    </w:p>
    <w:p w:rsidR="00397A79" w:rsidRDefault="00397A79" w:rsidP="00397A79">
      <w:pPr>
        <w:spacing w:after="0"/>
        <w:ind w:left="1134"/>
        <w:rPr>
          <w:sz w:val="24"/>
          <w:szCs w:val="24"/>
        </w:rPr>
      </w:pPr>
      <w:r>
        <w:rPr>
          <w:sz w:val="24"/>
          <w:szCs w:val="24"/>
        </w:rPr>
        <w:t xml:space="preserve">Und die </w:t>
      </w:r>
      <w:proofErr w:type="spellStart"/>
      <w:r>
        <w:rPr>
          <w:sz w:val="24"/>
          <w:szCs w:val="24"/>
        </w:rPr>
        <w:t>Rabbanen</w:t>
      </w:r>
      <w:proofErr w:type="spellEnd"/>
      <w:r>
        <w:rPr>
          <w:sz w:val="24"/>
          <w:szCs w:val="24"/>
        </w:rPr>
        <w:t xml:space="preserve"> verboten das Lesen griechischer Bücher und theologischer und naturwissenschaftlicher Schriften jedem Juden unter fünfundzwanzig Jahren.“</w:t>
      </w:r>
      <w:r>
        <w:rPr>
          <w:rStyle w:val="Funotenzeichen"/>
          <w:sz w:val="24"/>
          <w:szCs w:val="24"/>
        </w:rPr>
        <w:footnoteReference w:id="28"/>
      </w:r>
    </w:p>
    <w:p w:rsidR="003A7EAE" w:rsidRDefault="005351B3" w:rsidP="003A7EAE">
      <w:pPr>
        <w:spacing w:after="0"/>
        <w:rPr>
          <w:sz w:val="24"/>
          <w:szCs w:val="24"/>
        </w:rPr>
      </w:pPr>
      <w:r>
        <w:rPr>
          <w:sz w:val="24"/>
          <w:szCs w:val="24"/>
        </w:rPr>
        <w:t>Er</w:t>
      </w:r>
      <w:r w:rsidR="003A7EAE">
        <w:rPr>
          <w:sz w:val="24"/>
          <w:szCs w:val="24"/>
        </w:rPr>
        <w:t xml:space="preserve"> zögert nicht, </w:t>
      </w:r>
      <w:r w:rsidR="006B1C54">
        <w:rPr>
          <w:sz w:val="24"/>
          <w:szCs w:val="24"/>
        </w:rPr>
        <w:t xml:space="preserve">in diesem Zusammenhang </w:t>
      </w:r>
      <w:r w:rsidR="003A7EAE">
        <w:rPr>
          <w:sz w:val="24"/>
          <w:szCs w:val="24"/>
        </w:rPr>
        <w:t>ein Tabu</w:t>
      </w:r>
      <w:r w:rsidR="007F28F4">
        <w:rPr>
          <w:sz w:val="24"/>
          <w:szCs w:val="24"/>
        </w:rPr>
        <w:t xml:space="preserve"> zu verletzen und die Haltung der jüdischen mit der der christlichen</w:t>
      </w:r>
      <w:r w:rsidR="007F28F4" w:rsidRPr="007F28F4">
        <w:rPr>
          <w:sz w:val="24"/>
          <w:szCs w:val="24"/>
        </w:rPr>
        <w:t xml:space="preserve"> </w:t>
      </w:r>
      <w:r w:rsidR="007F28F4">
        <w:rPr>
          <w:sz w:val="24"/>
          <w:szCs w:val="24"/>
        </w:rPr>
        <w:t xml:space="preserve">Theologen, also mit </w:t>
      </w:r>
      <w:r w:rsidR="003A7EAE">
        <w:rPr>
          <w:sz w:val="24"/>
          <w:szCs w:val="24"/>
        </w:rPr>
        <w:t xml:space="preserve">„Rom“, </w:t>
      </w:r>
      <w:r w:rsidR="007F28F4">
        <w:rPr>
          <w:sz w:val="24"/>
          <w:szCs w:val="24"/>
        </w:rPr>
        <w:t>zu vergleich</w:t>
      </w:r>
      <w:r w:rsidR="003A7EAE">
        <w:rPr>
          <w:sz w:val="24"/>
          <w:szCs w:val="24"/>
        </w:rPr>
        <w:t>en:</w:t>
      </w:r>
    </w:p>
    <w:p w:rsidR="003A7EAE" w:rsidRDefault="003A7EAE" w:rsidP="003A7EAE">
      <w:pPr>
        <w:spacing w:after="0"/>
        <w:ind w:left="1134"/>
        <w:rPr>
          <w:sz w:val="24"/>
          <w:szCs w:val="24"/>
        </w:rPr>
      </w:pPr>
      <w:r w:rsidRPr="003F046F">
        <w:rPr>
          <w:sz w:val="24"/>
          <w:szCs w:val="24"/>
        </w:rPr>
        <w:t xml:space="preserve">„Den </w:t>
      </w:r>
      <w:proofErr w:type="spellStart"/>
      <w:r w:rsidRPr="003F046F">
        <w:rPr>
          <w:sz w:val="24"/>
          <w:szCs w:val="24"/>
        </w:rPr>
        <w:t>Rabbanen</w:t>
      </w:r>
      <w:proofErr w:type="spellEnd"/>
      <w:r w:rsidRPr="003F046F">
        <w:rPr>
          <w:sz w:val="24"/>
          <w:szCs w:val="24"/>
        </w:rPr>
        <w:t xml:space="preserve"> […] fehlte, um ihre Strenge harmonisch und ersprießlich zu gestalten, die Flexibilität der Theologie, dieser Mutter, nicht des Wissens, sondern der Weisheit. Deshalb konnte die mosaische Religion sich nicht immer auf Neue befruchte</w:t>
      </w:r>
      <w:r>
        <w:t xml:space="preserve">n, </w:t>
      </w:r>
      <w:r w:rsidRPr="003A7EAE">
        <w:rPr>
          <w:sz w:val="24"/>
          <w:szCs w:val="24"/>
        </w:rPr>
        <w:t xml:space="preserve">um </w:t>
      </w:r>
      <w:r>
        <w:rPr>
          <w:sz w:val="24"/>
          <w:szCs w:val="24"/>
        </w:rPr>
        <w:t>w</w:t>
      </w:r>
      <w:r w:rsidRPr="003A7EAE">
        <w:rPr>
          <w:sz w:val="24"/>
          <w:szCs w:val="24"/>
        </w:rPr>
        <w:t>i</w:t>
      </w:r>
      <w:r>
        <w:rPr>
          <w:sz w:val="24"/>
          <w:szCs w:val="24"/>
        </w:rPr>
        <w:t>e</w:t>
      </w:r>
      <w:r w:rsidRPr="003A7EAE">
        <w:rPr>
          <w:sz w:val="24"/>
          <w:szCs w:val="24"/>
        </w:rPr>
        <w:t xml:space="preserve"> Rom immer aufs Neue Genialität zu gebären.“</w:t>
      </w:r>
      <w:r w:rsidR="007F28F4">
        <w:rPr>
          <w:rStyle w:val="Funotenzeichen"/>
          <w:sz w:val="24"/>
          <w:szCs w:val="24"/>
        </w:rPr>
        <w:footnoteReference w:id="29"/>
      </w:r>
      <w:r w:rsidRPr="003A7EAE">
        <w:rPr>
          <w:sz w:val="24"/>
          <w:szCs w:val="24"/>
        </w:rPr>
        <w:t xml:space="preserve"> </w:t>
      </w:r>
    </w:p>
    <w:p w:rsidR="00397A79" w:rsidRDefault="005351B3" w:rsidP="005309BA">
      <w:pPr>
        <w:spacing w:after="0"/>
        <w:rPr>
          <w:sz w:val="24"/>
          <w:szCs w:val="24"/>
        </w:rPr>
      </w:pPr>
      <w:r>
        <w:rPr>
          <w:sz w:val="24"/>
          <w:szCs w:val="24"/>
        </w:rPr>
        <w:t>D</w:t>
      </w:r>
      <w:r w:rsidR="007F28F4">
        <w:rPr>
          <w:sz w:val="24"/>
          <w:szCs w:val="24"/>
        </w:rPr>
        <w:t>ie</w:t>
      </w:r>
      <w:r w:rsidR="003A7EAE">
        <w:rPr>
          <w:sz w:val="24"/>
          <w:szCs w:val="24"/>
        </w:rPr>
        <w:t xml:space="preserve"> Kritik </w:t>
      </w:r>
      <w:r>
        <w:rPr>
          <w:sz w:val="24"/>
          <w:szCs w:val="24"/>
        </w:rPr>
        <w:t xml:space="preserve">wird </w:t>
      </w:r>
      <w:r w:rsidR="003A7EAE">
        <w:rPr>
          <w:sz w:val="24"/>
          <w:szCs w:val="24"/>
        </w:rPr>
        <w:t>noch</w:t>
      </w:r>
      <w:r>
        <w:rPr>
          <w:sz w:val="24"/>
          <w:szCs w:val="24"/>
        </w:rPr>
        <w:t xml:space="preserve"> dadurch gesteigert</w:t>
      </w:r>
      <w:r w:rsidR="003A7EAE">
        <w:rPr>
          <w:sz w:val="24"/>
          <w:szCs w:val="24"/>
        </w:rPr>
        <w:t xml:space="preserve">, </w:t>
      </w:r>
      <w:r>
        <w:rPr>
          <w:sz w:val="24"/>
          <w:szCs w:val="24"/>
        </w:rPr>
        <w:t xml:space="preserve">dass </w:t>
      </w:r>
      <w:proofErr w:type="spellStart"/>
      <w:r>
        <w:rPr>
          <w:sz w:val="24"/>
          <w:szCs w:val="24"/>
        </w:rPr>
        <w:t>Marcu</w:t>
      </w:r>
      <w:proofErr w:type="spellEnd"/>
      <w:r w:rsidR="003A7EAE">
        <w:rPr>
          <w:sz w:val="24"/>
          <w:szCs w:val="24"/>
        </w:rPr>
        <w:t xml:space="preserve"> explizit von den „stationären“ Elementen des Judentums spricht</w:t>
      </w:r>
      <w:r w:rsidR="006B1C54">
        <w:rPr>
          <w:sz w:val="24"/>
          <w:szCs w:val="24"/>
        </w:rPr>
        <w:t xml:space="preserve">, </w:t>
      </w:r>
      <w:r w:rsidR="00A3180B">
        <w:rPr>
          <w:sz w:val="24"/>
          <w:szCs w:val="24"/>
        </w:rPr>
        <w:t>ein</w:t>
      </w:r>
      <w:r w:rsidR="006B1C54">
        <w:rPr>
          <w:sz w:val="24"/>
          <w:szCs w:val="24"/>
        </w:rPr>
        <w:t>er retrograden geistigen Orientierung</w:t>
      </w:r>
      <w:r w:rsidR="003A7EAE">
        <w:rPr>
          <w:sz w:val="24"/>
          <w:szCs w:val="24"/>
        </w:rPr>
        <w:t>:</w:t>
      </w:r>
    </w:p>
    <w:p w:rsidR="003A7EAE" w:rsidRPr="003F046F" w:rsidRDefault="003A7EAE" w:rsidP="00635DF4">
      <w:pPr>
        <w:spacing w:after="0"/>
        <w:ind w:left="1134"/>
        <w:rPr>
          <w:sz w:val="24"/>
          <w:szCs w:val="24"/>
        </w:rPr>
      </w:pPr>
      <w:r w:rsidRPr="003F046F">
        <w:rPr>
          <w:sz w:val="24"/>
          <w:szCs w:val="24"/>
        </w:rPr>
        <w:t xml:space="preserve">„Die stationären Elemente des Judentums, die Bindungen ihrer Seele, die ihnen seit Jahrtausenden die Existenz ermöglichten, konkretisierten sich im </w:t>
      </w:r>
      <w:proofErr w:type="spellStart"/>
      <w:r w:rsidRPr="003F046F">
        <w:rPr>
          <w:sz w:val="24"/>
          <w:szCs w:val="24"/>
        </w:rPr>
        <w:t>Rabbinismus</w:t>
      </w:r>
      <w:proofErr w:type="spellEnd"/>
      <w:r w:rsidRPr="003F046F">
        <w:rPr>
          <w:sz w:val="24"/>
          <w:szCs w:val="24"/>
        </w:rPr>
        <w:t xml:space="preserve">, wurden hier zum festen Gestein. Das sind die inneren </w:t>
      </w:r>
      <w:proofErr w:type="spellStart"/>
      <w:r w:rsidRPr="003F046F">
        <w:rPr>
          <w:sz w:val="24"/>
          <w:szCs w:val="24"/>
        </w:rPr>
        <w:t>Bastione</w:t>
      </w:r>
      <w:proofErr w:type="spellEnd"/>
      <w:r w:rsidRPr="003F046F">
        <w:rPr>
          <w:sz w:val="24"/>
          <w:szCs w:val="24"/>
        </w:rPr>
        <w:t xml:space="preserve">[n] des </w:t>
      </w:r>
      <w:proofErr w:type="spellStart"/>
      <w:r w:rsidRPr="003F046F">
        <w:rPr>
          <w:sz w:val="24"/>
          <w:szCs w:val="24"/>
        </w:rPr>
        <w:t>Hebräertums</w:t>
      </w:r>
      <w:proofErr w:type="spellEnd"/>
      <w:r w:rsidRPr="003F046F">
        <w:rPr>
          <w:sz w:val="24"/>
          <w:szCs w:val="24"/>
        </w:rPr>
        <w:t>: ebenso trocken wie widerstandsfähig.“</w:t>
      </w:r>
      <w:r w:rsidR="007F28F4">
        <w:rPr>
          <w:rStyle w:val="Funotenzeichen"/>
          <w:sz w:val="24"/>
          <w:szCs w:val="24"/>
        </w:rPr>
        <w:footnoteReference w:id="30"/>
      </w:r>
      <w:r w:rsidRPr="003F046F">
        <w:rPr>
          <w:sz w:val="24"/>
          <w:szCs w:val="24"/>
        </w:rPr>
        <w:t xml:space="preserve"> </w:t>
      </w:r>
    </w:p>
    <w:p w:rsidR="003A7EAE" w:rsidRDefault="005351B3" w:rsidP="005309BA">
      <w:pPr>
        <w:spacing w:after="0"/>
        <w:rPr>
          <w:sz w:val="24"/>
          <w:szCs w:val="24"/>
        </w:rPr>
      </w:pPr>
      <w:r>
        <w:rPr>
          <w:sz w:val="24"/>
          <w:szCs w:val="24"/>
        </w:rPr>
        <w:t>Spielerisch</w:t>
      </w:r>
      <w:r w:rsidR="00A3180B">
        <w:rPr>
          <w:sz w:val="24"/>
          <w:szCs w:val="24"/>
        </w:rPr>
        <w:t xml:space="preserve"> und</w:t>
      </w:r>
      <w:r>
        <w:rPr>
          <w:sz w:val="24"/>
          <w:szCs w:val="24"/>
        </w:rPr>
        <w:t xml:space="preserve"> damit erneut</w:t>
      </w:r>
      <w:r w:rsidR="006B1C54">
        <w:rPr>
          <w:sz w:val="24"/>
          <w:szCs w:val="24"/>
        </w:rPr>
        <w:t xml:space="preserve"> provokativ</w:t>
      </w:r>
      <w:r>
        <w:rPr>
          <w:sz w:val="24"/>
          <w:szCs w:val="24"/>
        </w:rPr>
        <w:t>,</w:t>
      </w:r>
      <w:r w:rsidR="006B1C54">
        <w:rPr>
          <w:sz w:val="24"/>
          <w:szCs w:val="24"/>
        </w:rPr>
        <w:t xml:space="preserve"> kontrastiert </w:t>
      </w:r>
      <w:proofErr w:type="spellStart"/>
      <w:r w:rsidR="003A7EAE">
        <w:rPr>
          <w:sz w:val="24"/>
          <w:szCs w:val="24"/>
        </w:rPr>
        <w:t>Marcu</w:t>
      </w:r>
      <w:proofErr w:type="spellEnd"/>
      <w:r w:rsidR="003A7EAE">
        <w:rPr>
          <w:sz w:val="24"/>
          <w:szCs w:val="24"/>
        </w:rPr>
        <w:t xml:space="preserve"> die </w:t>
      </w:r>
      <w:r w:rsidR="00A3180B">
        <w:rPr>
          <w:sz w:val="24"/>
          <w:szCs w:val="24"/>
        </w:rPr>
        <w:t>strenge Welt</w:t>
      </w:r>
      <w:r w:rsidR="003A7EAE">
        <w:rPr>
          <w:sz w:val="24"/>
          <w:szCs w:val="24"/>
        </w:rPr>
        <w:t xml:space="preserve"> der Rabbiner </w:t>
      </w:r>
      <w:r w:rsidR="00A12576">
        <w:rPr>
          <w:sz w:val="24"/>
          <w:szCs w:val="24"/>
        </w:rPr>
        <w:t xml:space="preserve">anschließend </w:t>
      </w:r>
      <w:r w:rsidR="003A7EAE">
        <w:rPr>
          <w:sz w:val="24"/>
          <w:szCs w:val="24"/>
        </w:rPr>
        <w:t>mit de</w:t>
      </w:r>
      <w:r w:rsidR="00A3180B">
        <w:rPr>
          <w:sz w:val="24"/>
          <w:szCs w:val="24"/>
        </w:rPr>
        <w:t xml:space="preserve">r poetischen Welt der Imagination im religiösen Alltag der Juden, </w:t>
      </w:r>
      <w:r w:rsidR="00A12576">
        <w:rPr>
          <w:sz w:val="24"/>
          <w:szCs w:val="24"/>
        </w:rPr>
        <w:t xml:space="preserve">mit </w:t>
      </w:r>
      <w:r w:rsidR="00A3180B">
        <w:rPr>
          <w:sz w:val="24"/>
          <w:szCs w:val="24"/>
        </w:rPr>
        <w:t>dem</w:t>
      </w:r>
      <w:r w:rsidR="006B1C54">
        <w:rPr>
          <w:sz w:val="24"/>
          <w:szCs w:val="24"/>
        </w:rPr>
        <w:t xml:space="preserve"> </w:t>
      </w:r>
      <w:r w:rsidR="00635DF4">
        <w:rPr>
          <w:sz w:val="24"/>
          <w:szCs w:val="24"/>
        </w:rPr>
        <w:t>Träumen „über heilige Dinge“:</w:t>
      </w:r>
      <w:r w:rsidR="003A7EAE">
        <w:rPr>
          <w:sz w:val="24"/>
          <w:szCs w:val="24"/>
        </w:rPr>
        <w:t xml:space="preserve"> </w:t>
      </w:r>
    </w:p>
    <w:p w:rsidR="003A7EAE" w:rsidRPr="003F046F" w:rsidRDefault="003A7EAE" w:rsidP="00635DF4">
      <w:pPr>
        <w:spacing w:after="0"/>
        <w:ind w:left="1134"/>
        <w:rPr>
          <w:sz w:val="24"/>
          <w:szCs w:val="24"/>
        </w:rPr>
      </w:pPr>
      <w:r w:rsidRPr="003F046F">
        <w:rPr>
          <w:sz w:val="24"/>
          <w:szCs w:val="24"/>
        </w:rPr>
        <w:lastRenderedPageBreak/>
        <w:t xml:space="preserve">„In den Synagogen lehrten die </w:t>
      </w:r>
      <w:proofErr w:type="spellStart"/>
      <w:r w:rsidRPr="003F046F">
        <w:rPr>
          <w:sz w:val="24"/>
          <w:szCs w:val="24"/>
        </w:rPr>
        <w:t>Rabbanen</w:t>
      </w:r>
      <w:proofErr w:type="spellEnd"/>
      <w:r w:rsidRPr="003F046F">
        <w:rPr>
          <w:sz w:val="24"/>
          <w:szCs w:val="24"/>
        </w:rPr>
        <w:t xml:space="preserve"> ihre Rabuli</w:t>
      </w:r>
      <w:r>
        <w:rPr>
          <w:sz w:val="24"/>
          <w:szCs w:val="24"/>
        </w:rPr>
        <w:t>s</w:t>
      </w:r>
      <w:r w:rsidRPr="003F046F">
        <w:rPr>
          <w:sz w:val="24"/>
          <w:szCs w:val="24"/>
        </w:rPr>
        <w:t xml:space="preserve">tik, erschöpften sich und die andern mit Beispielen aus dem Talmud, verglichen die Sätze, fanden Gegensätze, nur um beweisen zu können, </w:t>
      </w:r>
      <w:proofErr w:type="spellStart"/>
      <w:r w:rsidRPr="003F046F">
        <w:rPr>
          <w:sz w:val="24"/>
          <w:szCs w:val="24"/>
        </w:rPr>
        <w:t>daß</w:t>
      </w:r>
      <w:proofErr w:type="spellEnd"/>
      <w:r w:rsidRPr="003F046F">
        <w:rPr>
          <w:sz w:val="24"/>
          <w:szCs w:val="24"/>
        </w:rPr>
        <w:t xml:space="preserve"> die Gegensätze keine waren. Hinter der Synagoge aber versteckten sich die Juden, um über heilige Dinge träumen zu können, um Götterlüfte zu atmen und </w:t>
      </w:r>
      <w:proofErr w:type="spellStart"/>
      <w:r w:rsidRPr="003F046F">
        <w:rPr>
          <w:sz w:val="24"/>
          <w:szCs w:val="24"/>
        </w:rPr>
        <w:t>beseeligende</w:t>
      </w:r>
      <w:proofErr w:type="spellEnd"/>
      <w:r w:rsidRPr="003F046F">
        <w:rPr>
          <w:sz w:val="24"/>
          <w:szCs w:val="24"/>
        </w:rPr>
        <w:t xml:space="preserve"> Saiten zu hören; sie träumten illegal; sie </w:t>
      </w:r>
      <w:proofErr w:type="spellStart"/>
      <w:r w:rsidRPr="003F046F">
        <w:rPr>
          <w:sz w:val="24"/>
          <w:szCs w:val="24"/>
        </w:rPr>
        <w:t>mußten</w:t>
      </w:r>
      <w:proofErr w:type="spellEnd"/>
      <w:r w:rsidRPr="003F046F">
        <w:rPr>
          <w:sz w:val="24"/>
          <w:szCs w:val="24"/>
        </w:rPr>
        <w:t xml:space="preserve"> sich vor den gestrengen </w:t>
      </w:r>
      <w:proofErr w:type="spellStart"/>
      <w:r w:rsidRPr="003F046F">
        <w:rPr>
          <w:sz w:val="24"/>
          <w:szCs w:val="24"/>
        </w:rPr>
        <w:t>Rabbanen</w:t>
      </w:r>
      <w:proofErr w:type="spellEnd"/>
      <w:r w:rsidRPr="003F046F">
        <w:rPr>
          <w:sz w:val="24"/>
          <w:szCs w:val="24"/>
        </w:rPr>
        <w:t xml:space="preserve"> und der Diesseitigkeit ihres Talmud verstecken.“</w:t>
      </w:r>
      <w:r w:rsidR="007F28F4">
        <w:rPr>
          <w:rStyle w:val="Funotenzeichen"/>
          <w:sz w:val="24"/>
          <w:szCs w:val="24"/>
        </w:rPr>
        <w:footnoteReference w:id="31"/>
      </w:r>
      <w:r w:rsidRPr="003F046F">
        <w:rPr>
          <w:sz w:val="24"/>
          <w:szCs w:val="24"/>
        </w:rPr>
        <w:t xml:space="preserve"> </w:t>
      </w:r>
    </w:p>
    <w:p w:rsidR="006D7290" w:rsidRDefault="00B21109" w:rsidP="005309BA">
      <w:pPr>
        <w:spacing w:after="0"/>
        <w:rPr>
          <w:sz w:val="24"/>
          <w:szCs w:val="24"/>
        </w:rPr>
      </w:pPr>
      <w:r>
        <w:rPr>
          <w:sz w:val="24"/>
          <w:szCs w:val="24"/>
        </w:rPr>
        <w:t>Marcus Sprache, seine</w:t>
      </w:r>
      <w:r w:rsidR="006D7290">
        <w:rPr>
          <w:sz w:val="24"/>
          <w:szCs w:val="24"/>
        </w:rPr>
        <w:t xml:space="preserve"> Hinweise auf die „Götterlüfte“ </w:t>
      </w:r>
      <w:r>
        <w:rPr>
          <w:sz w:val="24"/>
          <w:szCs w:val="24"/>
        </w:rPr>
        <w:t>und die „</w:t>
      </w:r>
      <w:proofErr w:type="spellStart"/>
      <w:r>
        <w:rPr>
          <w:sz w:val="24"/>
          <w:szCs w:val="24"/>
        </w:rPr>
        <w:t>beseeligenden</w:t>
      </w:r>
      <w:proofErr w:type="spellEnd"/>
      <w:r>
        <w:rPr>
          <w:sz w:val="24"/>
          <w:szCs w:val="24"/>
        </w:rPr>
        <w:t xml:space="preserve"> Saiten“ der Harfe</w:t>
      </w:r>
      <w:r w:rsidR="00A3180B">
        <w:rPr>
          <w:sz w:val="24"/>
          <w:szCs w:val="24"/>
        </w:rPr>
        <w:t xml:space="preserve">, also </w:t>
      </w:r>
      <w:r w:rsidR="00494EF8">
        <w:rPr>
          <w:sz w:val="24"/>
          <w:szCs w:val="24"/>
        </w:rPr>
        <w:t>auf die</w:t>
      </w:r>
      <w:r w:rsidR="00A3180B">
        <w:rPr>
          <w:sz w:val="24"/>
          <w:szCs w:val="24"/>
        </w:rPr>
        <w:t xml:space="preserve"> Psalmen Davids,</w:t>
      </w:r>
      <w:r>
        <w:rPr>
          <w:sz w:val="24"/>
          <w:szCs w:val="24"/>
        </w:rPr>
        <w:t xml:space="preserve"> lass</w:t>
      </w:r>
      <w:r w:rsidR="001C198B">
        <w:rPr>
          <w:sz w:val="24"/>
          <w:szCs w:val="24"/>
        </w:rPr>
        <w:t xml:space="preserve">en </w:t>
      </w:r>
      <w:r>
        <w:rPr>
          <w:sz w:val="24"/>
          <w:szCs w:val="24"/>
        </w:rPr>
        <w:t>ähnliche Formulier</w:t>
      </w:r>
      <w:r w:rsidR="00331978">
        <w:rPr>
          <w:sz w:val="24"/>
          <w:szCs w:val="24"/>
        </w:rPr>
        <w:t>ung</w:t>
      </w:r>
      <w:r>
        <w:rPr>
          <w:sz w:val="24"/>
          <w:szCs w:val="24"/>
        </w:rPr>
        <w:t>en aufscheinen, die bei</w:t>
      </w:r>
      <w:r w:rsidR="001C198B">
        <w:rPr>
          <w:sz w:val="24"/>
          <w:szCs w:val="24"/>
        </w:rPr>
        <w:t xml:space="preserve"> Heinrich Heine </w:t>
      </w:r>
      <w:r>
        <w:rPr>
          <w:sz w:val="24"/>
          <w:szCs w:val="24"/>
        </w:rPr>
        <w:t>zu finden sind</w:t>
      </w:r>
      <w:r w:rsidR="001C198B">
        <w:rPr>
          <w:sz w:val="24"/>
          <w:szCs w:val="24"/>
        </w:rPr>
        <w:t>.</w:t>
      </w:r>
      <w:r w:rsidR="005351B3">
        <w:rPr>
          <w:sz w:val="24"/>
          <w:szCs w:val="24"/>
        </w:rPr>
        <w:t xml:space="preserve"> Dies mildert Marcus </w:t>
      </w:r>
      <w:r w:rsidR="00331978">
        <w:rPr>
          <w:sz w:val="24"/>
          <w:szCs w:val="24"/>
        </w:rPr>
        <w:t xml:space="preserve">harsche </w:t>
      </w:r>
      <w:r w:rsidR="00A3180B">
        <w:rPr>
          <w:sz w:val="24"/>
          <w:szCs w:val="24"/>
        </w:rPr>
        <w:t>Krit</w:t>
      </w:r>
      <w:r w:rsidR="005351B3">
        <w:rPr>
          <w:sz w:val="24"/>
          <w:szCs w:val="24"/>
        </w:rPr>
        <w:t>ik.</w:t>
      </w:r>
    </w:p>
    <w:p w:rsidR="006D7290" w:rsidRDefault="006D7290" w:rsidP="005309BA">
      <w:pPr>
        <w:spacing w:after="0"/>
        <w:rPr>
          <w:sz w:val="24"/>
          <w:szCs w:val="24"/>
        </w:rPr>
      </w:pPr>
    </w:p>
    <w:p w:rsidR="003A7EAE" w:rsidRDefault="006D7290" w:rsidP="005309BA">
      <w:pPr>
        <w:spacing w:after="0"/>
        <w:rPr>
          <w:sz w:val="24"/>
          <w:szCs w:val="24"/>
        </w:rPr>
      </w:pPr>
      <w:r>
        <w:rPr>
          <w:sz w:val="24"/>
          <w:szCs w:val="24"/>
        </w:rPr>
        <w:tab/>
      </w:r>
      <w:r w:rsidR="00094C75">
        <w:rPr>
          <w:sz w:val="24"/>
          <w:szCs w:val="24"/>
        </w:rPr>
        <w:t xml:space="preserve">Die zentrale Gestalt der Disputation von </w:t>
      </w:r>
      <w:proofErr w:type="spellStart"/>
      <w:r w:rsidR="00094C75">
        <w:rPr>
          <w:sz w:val="24"/>
          <w:szCs w:val="24"/>
        </w:rPr>
        <w:t>Tortosa</w:t>
      </w:r>
      <w:proofErr w:type="spellEnd"/>
      <w:r w:rsidR="00094C75">
        <w:rPr>
          <w:sz w:val="24"/>
          <w:szCs w:val="24"/>
        </w:rPr>
        <w:t xml:space="preserve"> ist auf christlicher Seite Geronimo de Santa </w:t>
      </w:r>
      <w:proofErr w:type="spellStart"/>
      <w:r w:rsidR="00094C75">
        <w:rPr>
          <w:sz w:val="24"/>
          <w:szCs w:val="24"/>
        </w:rPr>
        <w:t>Fe</w:t>
      </w:r>
      <w:proofErr w:type="spellEnd"/>
      <w:r w:rsidR="00094C75">
        <w:rPr>
          <w:sz w:val="24"/>
          <w:szCs w:val="24"/>
        </w:rPr>
        <w:t>, ein zum Christentum konvertierter, ehemals orthodoxer Rabbiner,</w:t>
      </w:r>
      <w:r w:rsidR="00094C75" w:rsidRPr="00907386">
        <w:rPr>
          <w:sz w:val="24"/>
          <w:szCs w:val="24"/>
        </w:rPr>
        <w:t xml:space="preserve"> </w:t>
      </w:r>
      <w:r w:rsidR="00094C75">
        <w:rPr>
          <w:sz w:val="24"/>
          <w:szCs w:val="24"/>
        </w:rPr>
        <w:t xml:space="preserve">ein „Renegat“. Die Renegaten spielen – so </w:t>
      </w:r>
      <w:proofErr w:type="spellStart"/>
      <w:r w:rsidR="00094C75">
        <w:rPr>
          <w:sz w:val="24"/>
          <w:szCs w:val="24"/>
        </w:rPr>
        <w:t>Marcu</w:t>
      </w:r>
      <w:proofErr w:type="spellEnd"/>
      <w:r w:rsidR="00094C75">
        <w:rPr>
          <w:sz w:val="24"/>
          <w:szCs w:val="24"/>
        </w:rPr>
        <w:t xml:space="preserve"> – eine insgesamt</w:t>
      </w:r>
      <w:r w:rsidR="00993886">
        <w:rPr>
          <w:sz w:val="24"/>
          <w:szCs w:val="24"/>
        </w:rPr>
        <w:t xml:space="preserve"> verhängnisvolle Rolle </w:t>
      </w:r>
      <w:r w:rsidR="00331978">
        <w:rPr>
          <w:sz w:val="24"/>
          <w:szCs w:val="24"/>
        </w:rPr>
        <w:t>im Prozess der Verfolgung</w:t>
      </w:r>
      <w:r w:rsidR="00993886">
        <w:rPr>
          <w:sz w:val="24"/>
          <w:szCs w:val="24"/>
        </w:rPr>
        <w:t xml:space="preserve">. </w:t>
      </w:r>
      <w:r w:rsidR="002B2AEC">
        <w:rPr>
          <w:sz w:val="24"/>
          <w:szCs w:val="24"/>
        </w:rPr>
        <w:t>Sie sind die treibenden Kräfte des Antijudaismus. Die Konversion erfolgte vermutlich in den meisten Fällen unter dem Druck von Pogromen. Weshalb jedoch</w:t>
      </w:r>
      <w:r w:rsidR="00993886">
        <w:rPr>
          <w:sz w:val="24"/>
          <w:szCs w:val="24"/>
        </w:rPr>
        <w:t xml:space="preserve"> </w:t>
      </w:r>
      <w:r w:rsidR="00331978">
        <w:rPr>
          <w:sz w:val="24"/>
          <w:szCs w:val="24"/>
        </w:rPr>
        <w:t xml:space="preserve">ausgerechnet </w:t>
      </w:r>
      <w:r w:rsidR="00993886">
        <w:rPr>
          <w:sz w:val="24"/>
          <w:szCs w:val="24"/>
        </w:rPr>
        <w:t xml:space="preserve">die frommen, in der Regel von ihren Gemeinden als verständnisvolle Helfer hoch geschätzten Rabbiner </w:t>
      </w:r>
      <w:r w:rsidR="002B2AEC">
        <w:rPr>
          <w:sz w:val="24"/>
          <w:szCs w:val="24"/>
        </w:rPr>
        <w:t>zu Anstiftern der Verfolgung werden, bleibt unklar.</w:t>
      </w:r>
      <w:r w:rsidR="00494EF8">
        <w:rPr>
          <w:sz w:val="24"/>
          <w:szCs w:val="24"/>
        </w:rPr>
        <w:t xml:space="preserve"> – </w:t>
      </w:r>
      <w:proofErr w:type="spellStart"/>
      <w:r w:rsidR="00494EF8">
        <w:rPr>
          <w:sz w:val="24"/>
          <w:szCs w:val="24"/>
        </w:rPr>
        <w:t>M</w:t>
      </w:r>
      <w:r w:rsidR="00055ED9">
        <w:rPr>
          <w:sz w:val="24"/>
          <w:szCs w:val="24"/>
        </w:rPr>
        <w:t>arcu</w:t>
      </w:r>
      <w:proofErr w:type="spellEnd"/>
      <w:r w:rsidR="00055ED9">
        <w:rPr>
          <w:sz w:val="24"/>
          <w:szCs w:val="24"/>
        </w:rPr>
        <w:t xml:space="preserve"> beginnt mit einer </w:t>
      </w:r>
      <w:r w:rsidR="005351B3">
        <w:rPr>
          <w:sz w:val="24"/>
          <w:szCs w:val="24"/>
        </w:rPr>
        <w:t xml:space="preserve">stark pointierenden </w:t>
      </w:r>
      <w:r w:rsidR="00055ED9">
        <w:rPr>
          <w:sz w:val="24"/>
          <w:szCs w:val="24"/>
        </w:rPr>
        <w:t>Aussage</w:t>
      </w:r>
      <w:r w:rsidR="00993886">
        <w:rPr>
          <w:sz w:val="24"/>
          <w:szCs w:val="24"/>
        </w:rPr>
        <w:t>:</w:t>
      </w:r>
    </w:p>
    <w:p w:rsidR="003470CD" w:rsidRDefault="003470CD" w:rsidP="00055ED9">
      <w:pPr>
        <w:spacing w:after="0"/>
        <w:ind w:left="1134"/>
        <w:rPr>
          <w:sz w:val="24"/>
          <w:szCs w:val="24"/>
        </w:rPr>
      </w:pPr>
      <w:r w:rsidRPr="003470CD">
        <w:rPr>
          <w:sz w:val="24"/>
          <w:szCs w:val="24"/>
        </w:rPr>
        <w:t>„Die Renegaten haben seit des zwölften Jahrhunderts Beginn die Päpste und die gesamte Christenheit maßlos gegen die Juden aufgehetzt. Sie denunzierten die Vergangenheit, die Bücher, die Riten der Hebräer als böswillige Verletzung und Verspottung aller Sakramente. Sie lieferten die Pogromparolen, die Brandtheorien, sie organisierten als Franziskaner und Dominikanergeneräle die Verleumdungen und sorgten für das gute Gewissen der Mörder.“</w:t>
      </w:r>
      <w:r w:rsidR="001C198B">
        <w:rPr>
          <w:rStyle w:val="Funotenzeichen"/>
          <w:sz w:val="24"/>
          <w:szCs w:val="24"/>
        </w:rPr>
        <w:footnoteReference w:id="32"/>
      </w:r>
      <w:r w:rsidRPr="003470CD">
        <w:rPr>
          <w:sz w:val="24"/>
          <w:szCs w:val="24"/>
        </w:rPr>
        <w:t xml:space="preserve"> </w:t>
      </w:r>
    </w:p>
    <w:p w:rsidR="00055ED9" w:rsidRPr="003470CD" w:rsidRDefault="00055ED9" w:rsidP="00055ED9">
      <w:pPr>
        <w:spacing w:after="0"/>
        <w:ind w:left="1134" w:hanging="1134"/>
        <w:rPr>
          <w:sz w:val="24"/>
          <w:szCs w:val="24"/>
        </w:rPr>
      </w:pPr>
      <w:r>
        <w:rPr>
          <w:sz w:val="24"/>
          <w:szCs w:val="24"/>
        </w:rPr>
        <w:t xml:space="preserve">Er geht </w:t>
      </w:r>
      <w:r w:rsidR="00331978">
        <w:rPr>
          <w:sz w:val="24"/>
          <w:szCs w:val="24"/>
        </w:rPr>
        <w:t>in diesem Zusammenhang</w:t>
      </w:r>
      <w:r>
        <w:rPr>
          <w:sz w:val="24"/>
          <w:szCs w:val="24"/>
        </w:rPr>
        <w:t xml:space="preserve"> genauer auf </w:t>
      </w:r>
      <w:r w:rsidRPr="003470CD">
        <w:rPr>
          <w:sz w:val="24"/>
          <w:szCs w:val="24"/>
        </w:rPr>
        <w:t xml:space="preserve">Geronimo de Santa </w:t>
      </w:r>
      <w:proofErr w:type="spellStart"/>
      <w:r w:rsidRPr="003470CD">
        <w:rPr>
          <w:sz w:val="24"/>
          <w:szCs w:val="24"/>
        </w:rPr>
        <w:t>Fe</w:t>
      </w:r>
      <w:proofErr w:type="spellEnd"/>
      <w:r>
        <w:rPr>
          <w:sz w:val="24"/>
          <w:szCs w:val="24"/>
        </w:rPr>
        <w:t xml:space="preserve"> ein:</w:t>
      </w:r>
    </w:p>
    <w:p w:rsidR="003470CD" w:rsidRDefault="003470CD" w:rsidP="00055ED9">
      <w:pPr>
        <w:spacing w:after="0"/>
        <w:ind w:left="1134"/>
        <w:rPr>
          <w:sz w:val="24"/>
          <w:szCs w:val="24"/>
        </w:rPr>
      </w:pPr>
      <w:r w:rsidRPr="003470CD">
        <w:rPr>
          <w:sz w:val="24"/>
          <w:szCs w:val="24"/>
        </w:rPr>
        <w:t xml:space="preserve">„Der gefeierte Sprecher von </w:t>
      </w:r>
      <w:proofErr w:type="spellStart"/>
      <w:r w:rsidRPr="003470CD">
        <w:rPr>
          <w:sz w:val="24"/>
          <w:szCs w:val="24"/>
        </w:rPr>
        <w:t>Tortosa</w:t>
      </w:r>
      <w:proofErr w:type="spellEnd"/>
      <w:r w:rsidRPr="003470CD">
        <w:rPr>
          <w:sz w:val="24"/>
          <w:szCs w:val="24"/>
        </w:rPr>
        <w:t xml:space="preserve">, Geronimo de Santa </w:t>
      </w:r>
      <w:proofErr w:type="spellStart"/>
      <w:r w:rsidRPr="003470CD">
        <w:rPr>
          <w:sz w:val="24"/>
          <w:szCs w:val="24"/>
        </w:rPr>
        <w:t>Fe</w:t>
      </w:r>
      <w:proofErr w:type="spellEnd"/>
      <w:r w:rsidRPr="003470CD">
        <w:rPr>
          <w:sz w:val="24"/>
          <w:szCs w:val="24"/>
        </w:rPr>
        <w:t xml:space="preserve">, war auch ein orthodoxer </w:t>
      </w:r>
      <w:proofErr w:type="spellStart"/>
      <w:r w:rsidRPr="003470CD">
        <w:rPr>
          <w:sz w:val="24"/>
          <w:szCs w:val="24"/>
        </w:rPr>
        <w:t>Rabbane</w:t>
      </w:r>
      <w:proofErr w:type="spellEnd"/>
      <w:r w:rsidRPr="003470CD">
        <w:rPr>
          <w:sz w:val="24"/>
          <w:szCs w:val="24"/>
        </w:rPr>
        <w:t xml:space="preserve"> gewesen. Vor der Taufe hieß er Josua aus Lorca. Sein neuer Name war ein Gelübde, </w:t>
      </w:r>
      <w:r w:rsidR="005066BF">
        <w:rPr>
          <w:sz w:val="24"/>
          <w:szCs w:val="24"/>
        </w:rPr>
        <w:t>s</w:t>
      </w:r>
      <w:r w:rsidRPr="003470CD">
        <w:rPr>
          <w:sz w:val="24"/>
          <w:szCs w:val="24"/>
        </w:rPr>
        <w:t>o fromm, so gottgeweiht wie der Heilige Hieronymus zu sein.“</w:t>
      </w:r>
      <w:r w:rsidR="001C198B">
        <w:rPr>
          <w:rStyle w:val="Funotenzeichen"/>
          <w:sz w:val="24"/>
          <w:szCs w:val="24"/>
        </w:rPr>
        <w:footnoteReference w:id="33"/>
      </w:r>
      <w:r w:rsidRPr="003470CD">
        <w:rPr>
          <w:sz w:val="24"/>
          <w:szCs w:val="24"/>
        </w:rPr>
        <w:t xml:space="preserve"> </w:t>
      </w:r>
    </w:p>
    <w:p w:rsidR="00055ED9" w:rsidRPr="00055ED9" w:rsidRDefault="00055ED9" w:rsidP="00055ED9">
      <w:pPr>
        <w:spacing w:after="0"/>
        <w:rPr>
          <w:sz w:val="24"/>
          <w:szCs w:val="24"/>
        </w:rPr>
      </w:pPr>
      <w:r w:rsidRPr="00055ED9">
        <w:rPr>
          <w:sz w:val="24"/>
          <w:szCs w:val="24"/>
        </w:rPr>
        <w:t xml:space="preserve">Geronimo de Santa </w:t>
      </w:r>
      <w:proofErr w:type="spellStart"/>
      <w:r w:rsidRPr="00055ED9">
        <w:rPr>
          <w:sz w:val="24"/>
          <w:szCs w:val="24"/>
        </w:rPr>
        <w:t>Fe</w:t>
      </w:r>
      <w:proofErr w:type="spellEnd"/>
      <w:r w:rsidRPr="00055ED9">
        <w:rPr>
          <w:sz w:val="24"/>
          <w:szCs w:val="24"/>
        </w:rPr>
        <w:t xml:space="preserve"> steht </w:t>
      </w:r>
      <w:r w:rsidR="00331978">
        <w:rPr>
          <w:sz w:val="24"/>
          <w:szCs w:val="24"/>
        </w:rPr>
        <w:t xml:space="preserve">bei der Disputation von </w:t>
      </w:r>
      <w:proofErr w:type="spellStart"/>
      <w:r w:rsidR="00331978">
        <w:rPr>
          <w:sz w:val="24"/>
          <w:szCs w:val="24"/>
        </w:rPr>
        <w:t>Tortosa</w:t>
      </w:r>
      <w:proofErr w:type="spellEnd"/>
      <w:r>
        <w:rPr>
          <w:sz w:val="24"/>
          <w:szCs w:val="24"/>
        </w:rPr>
        <w:t xml:space="preserve"> nicht allein, sondern </w:t>
      </w:r>
      <w:r w:rsidR="00494EF8">
        <w:rPr>
          <w:sz w:val="24"/>
          <w:szCs w:val="24"/>
        </w:rPr>
        <w:t>wird von zwei Helfern unterstüt</w:t>
      </w:r>
      <w:r>
        <w:rPr>
          <w:sz w:val="24"/>
          <w:szCs w:val="24"/>
        </w:rPr>
        <w:t>zt, ebenfalls Renegaten:</w:t>
      </w:r>
    </w:p>
    <w:p w:rsidR="003470CD" w:rsidRPr="003470CD" w:rsidRDefault="003470CD" w:rsidP="00055ED9">
      <w:pPr>
        <w:spacing w:after="0"/>
        <w:ind w:left="1134"/>
        <w:rPr>
          <w:sz w:val="24"/>
          <w:szCs w:val="24"/>
        </w:rPr>
      </w:pPr>
      <w:r w:rsidRPr="003470CD">
        <w:rPr>
          <w:sz w:val="24"/>
          <w:szCs w:val="24"/>
        </w:rPr>
        <w:t xml:space="preserve">„Josua </w:t>
      </w:r>
      <w:proofErr w:type="spellStart"/>
      <w:r w:rsidRPr="003470CD">
        <w:rPr>
          <w:sz w:val="24"/>
          <w:szCs w:val="24"/>
        </w:rPr>
        <w:t>genoß</w:t>
      </w:r>
      <w:proofErr w:type="spellEnd"/>
      <w:r w:rsidRPr="003470CD">
        <w:rPr>
          <w:sz w:val="24"/>
          <w:szCs w:val="24"/>
        </w:rPr>
        <w:t xml:space="preserve"> bei seinem Werk die Hilfe zweier weltbekannter Talmudisten, zweier ehemaliger </w:t>
      </w:r>
      <w:proofErr w:type="spellStart"/>
      <w:r w:rsidRPr="003470CD">
        <w:rPr>
          <w:sz w:val="24"/>
          <w:szCs w:val="24"/>
        </w:rPr>
        <w:t>Rabbanen</w:t>
      </w:r>
      <w:proofErr w:type="spellEnd"/>
      <w:r w:rsidRPr="003470CD">
        <w:rPr>
          <w:sz w:val="24"/>
          <w:szCs w:val="24"/>
        </w:rPr>
        <w:t>, deren Scharfsinn einst unter der Judenheit als Lichtstrahlen der Frömmigkeit gegolten hatten.</w:t>
      </w:r>
    </w:p>
    <w:p w:rsidR="003470CD" w:rsidRPr="003470CD" w:rsidRDefault="003470CD" w:rsidP="00055ED9">
      <w:pPr>
        <w:spacing w:after="0"/>
        <w:ind w:left="1134"/>
        <w:rPr>
          <w:sz w:val="24"/>
          <w:szCs w:val="24"/>
        </w:rPr>
      </w:pPr>
      <w:r w:rsidRPr="003470CD">
        <w:rPr>
          <w:sz w:val="24"/>
          <w:szCs w:val="24"/>
        </w:rPr>
        <w:t xml:space="preserve">Der eine hieß Johann der Alte, der andere Alphons </w:t>
      </w:r>
      <w:proofErr w:type="spellStart"/>
      <w:r w:rsidRPr="003470CD">
        <w:rPr>
          <w:sz w:val="24"/>
          <w:szCs w:val="24"/>
        </w:rPr>
        <w:t>d’Espina</w:t>
      </w:r>
      <w:proofErr w:type="spellEnd"/>
      <w:r w:rsidRPr="003470CD">
        <w:rPr>
          <w:sz w:val="24"/>
          <w:szCs w:val="24"/>
        </w:rPr>
        <w:t>.“</w:t>
      </w:r>
      <w:r w:rsidR="001C198B">
        <w:rPr>
          <w:rStyle w:val="Funotenzeichen"/>
          <w:sz w:val="24"/>
          <w:szCs w:val="24"/>
        </w:rPr>
        <w:footnoteReference w:id="34"/>
      </w:r>
      <w:r w:rsidRPr="003470CD">
        <w:rPr>
          <w:sz w:val="24"/>
          <w:szCs w:val="24"/>
        </w:rPr>
        <w:t xml:space="preserve"> </w:t>
      </w:r>
    </w:p>
    <w:p w:rsidR="00055ED9" w:rsidRDefault="00055ED9" w:rsidP="00055ED9">
      <w:pPr>
        <w:spacing w:after="0"/>
        <w:ind w:left="1134" w:hanging="1134"/>
        <w:rPr>
          <w:sz w:val="24"/>
          <w:szCs w:val="24"/>
        </w:rPr>
      </w:pPr>
      <w:r>
        <w:rPr>
          <w:sz w:val="24"/>
          <w:szCs w:val="24"/>
        </w:rPr>
        <w:t xml:space="preserve">Gegen </w:t>
      </w:r>
      <w:proofErr w:type="spellStart"/>
      <w:r>
        <w:rPr>
          <w:sz w:val="24"/>
          <w:szCs w:val="24"/>
        </w:rPr>
        <w:t>d’Espina</w:t>
      </w:r>
      <w:proofErr w:type="spellEnd"/>
      <w:r>
        <w:rPr>
          <w:sz w:val="24"/>
          <w:szCs w:val="24"/>
        </w:rPr>
        <w:t xml:space="preserve"> erhebt </w:t>
      </w:r>
      <w:proofErr w:type="spellStart"/>
      <w:r>
        <w:rPr>
          <w:sz w:val="24"/>
          <w:szCs w:val="24"/>
        </w:rPr>
        <w:t>Marcu</w:t>
      </w:r>
      <w:proofErr w:type="spellEnd"/>
      <w:r>
        <w:rPr>
          <w:sz w:val="24"/>
          <w:szCs w:val="24"/>
        </w:rPr>
        <w:t xml:space="preserve"> schwere Vorwürfe:</w:t>
      </w:r>
    </w:p>
    <w:p w:rsidR="003470CD" w:rsidRDefault="003470CD" w:rsidP="00055ED9">
      <w:pPr>
        <w:spacing w:after="0"/>
        <w:ind w:left="1134"/>
        <w:rPr>
          <w:sz w:val="24"/>
          <w:szCs w:val="24"/>
        </w:rPr>
      </w:pPr>
      <w:r w:rsidRPr="003470CD">
        <w:rPr>
          <w:sz w:val="24"/>
          <w:szCs w:val="24"/>
        </w:rPr>
        <w:t xml:space="preserve">„Lange Jahre vor Einführung der neuen Inquisition durch Torquemada popularisierte </w:t>
      </w:r>
      <w:proofErr w:type="spellStart"/>
      <w:r w:rsidRPr="003470CD">
        <w:rPr>
          <w:sz w:val="24"/>
          <w:szCs w:val="24"/>
        </w:rPr>
        <w:t>d’Espina</w:t>
      </w:r>
      <w:proofErr w:type="spellEnd"/>
      <w:r w:rsidRPr="003470CD">
        <w:rPr>
          <w:sz w:val="24"/>
          <w:szCs w:val="24"/>
        </w:rPr>
        <w:t xml:space="preserve"> von der Kanzel aus den Ruf nach dem Scheiterhaufen.“</w:t>
      </w:r>
      <w:r w:rsidR="001C198B">
        <w:rPr>
          <w:rStyle w:val="Funotenzeichen"/>
          <w:sz w:val="24"/>
          <w:szCs w:val="24"/>
        </w:rPr>
        <w:footnoteReference w:id="35"/>
      </w:r>
    </w:p>
    <w:p w:rsidR="00055ED9" w:rsidRPr="003470CD" w:rsidRDefault="00055ED9" w:rsidP="00055ED9">
      <w:pPr>
        <w:spacing w:after="0"/>
        <w:rPr>
          <w:sz w:val="24"/>
          <w:szCs w:val="24"/>
        </w:rPr>
      </w:pPr>
      <w:r>
        <w:rPr>
          <w:sz w:val="24"/>
          <w:szCs w:val="24"/>
        </w:rPr>
        <w:lastRenderedPageBreak/>
        <w:t>Die</w:t>
      </w:r>
      <w:r w:rsidR="001C198B">
        <w:rPr>
          <w:sz w:val="24"/>
          <w:szCs w:val="24"/>
        </w:rPr>
        <w:t>selb</w:t>
      </w:r>
      <w:r>
        <w:rPr>
          <w:sz w:val="24"/>
          <w:szCs w:val="24"/>
        </w:rPr>
        <w:t xml:space="preserve">en Vorwürfe richten sich auch gegen </w:t>
      </w:r>
      <w:r w:rsidRPr="00055ED9">
        <w:rPr>
          <w:sz w:val="24"/>
          <w:szCs w:val="24"/>
        </w:rPr>
        <w:t>Paulus de Santa Maria, Erzbischof von Burgos</w:t>
      </w:r>
      <w:r>
        <w:rPr>
          <w:sz w:val="24"/>
          <w:szCs w:val="24"/>
        </w:rPr>
        <w:t>, einen weiteren Renegaten</w:t>
      </w:r>
      <w:r w:rsidRPr="00055ED9">
        <w:rPr>
          <w:sz w:val="24"/>
          <w:szCs w:val="24"/>
        </w:rPr>
        <w:t>:</w:t>
      </w:r>
    </w:p>
    <w:p w:rsidR="001C198B" w:rsidRDefault="003470CD" w:rsidP="00055ED9">
      <w:pPr>
        <w:spacing w:after="0"/>
        <w:ind w:left="1134"/>
        <w:rPr>
          <w:sz w:val="24"/>
          <w:szCs w:val="24"/>
        </w:rPr>
      </w:pPr>
      <w:r w:rsidRPr="003470CD">
        <w:rPr>
          <w:sz w:val="24"/>
          <w:szCs w:val="24"/>
        </w:rPr>
        <w:t xml:space="preserve">„Der Erzbischof führte noch vor wenigen Jahren das ruhige Gelehrtendasein eines bescheidenen Talmudisten und hieß Salomon Halevi. Er behütete als </w:t>
      </w:r>
      <w:proofErr w:type="spellStart"/>
      <w:r w:rsidRPr="003470CD">
        <w:rPr>
          <w:sz w:val="24"/>
          <w:szCs w:val="24"/>
        </w:rPr>
        <w:t>Rabbane</w:t>
      </w:r>
      <w:proofErr w:type="spellEnd"/>
      <w:r w:rsidRPr="003470CD">
        <w:rPr>
          <w:sz w:val="24"/>
          <w:szCs w:val="24"/>
        </w:rPr>
        <w:t xml:space="preserve"> das Ghetto von Burgos, und die Hebräer </w:t>
      </w:r>
      <w:proofErr w:type="spellStart"/>
      <w:r w:rsidRPr="003470CD">
        <w:rPr>
          <w:sz w:val="24"/>
          <w:szCs w:val="24"/>
        </w:rPr>
        <w:t>wußten</w:t>
      </w:r>
      <w:proofErr w:type="spellEnd"/>
      <w:r w:rsidRPr="003470CD">
        <w:rPr>
          <w:sz w:val="24"/>
          <w:szCs w:val="24"/>
        </w:rPr>
        <w:t xml:space="preserve">, </w:t>
      </w:r>
      <w:proofErr w:type="spellStart"/>
      <w:r w:rsidRPr="003470CD">
        <w:rPr>
          <w:sz w:val="24"/>
          <w:szCs w:val="24"/>
        </w:rPr>
        <w:t>daß</w:t>
      </w:r>
      <w:proofErr w:type="spellEnd"/>
      <w:r w:rsidRPr="003470CD">
        <w:rPr>
          <w:sz w:val="24"/>
          <w:szCs w:val="24"/>
        </w:rPr>
        <w:t xml:space="preserve"> sie ihn stets zu Hause fänden; sein Licht brannte bis spät in die Nacht, denn für seine Liebe zu den Büchern war der längste Tag zu kurz.“</w:t>
      </w:r>
      <w:r w:rsidR="001C198B">
        <w:rPr>
          <w:rStyle w:val="Funotenzeichen"/>
          <w:sz w:val="24"/>
          <w:szCs w:val="24"/>
        </w:rPr>
        <w:footnoteReference w:id="36"/>
      </w:r>
      <w:r w:rsidRPr="003470CD">
        <w:rPr>
          <w:sz w:val="24"/>
          <w:szCs w:val="24"/>
        </w:rPr>
        <w:t xml:space="preserve"> </w:t>
      </w:r>
    </w:p>
    <w:p w:rsidR="001C198B" w:rsidRDefault="003470CD" w:rsidP="001C198B">
      <w:pPr>
        <w:spacing w:after="0"/>
        <w:ind w:left="1134" w:hanging="1134"/>
        <w:rPr>
          <w:sz w:val="24"/>
          <w:szCs w:val="24"/>
        </w:rPr>
      </w:pPr>
      <w:r w:rsidRPr="003470CD">
        <w:rPr>
          <w:sz w:val="24"/>
          <w:szCs w:val="24"/>
        </w:rPr>
        <w:t>Ein Pogrom</w:t>
      </w:r>
      <w:r w:rsidR="00786DD2">
        <w:rPr>
          <w:sz w:val="24"/>
          <w:szCs w:val="24"/>
        </w:rPr>
        <w:t xml:space="preserve"> ereignet sich</w:t>
      </w:r>
      <w:r w:rsidRPr="003470CD">
        <w:rPr>
          <w:sz w:val="24"/>
          <w:szCs w:val="24"/>
        </w:rPr>
        <w:t xml:space="preserve">, verbunden mit Zwangstaufen: </w:t>
      </w:r>
    </w:p>
    <w:p w:rsidR="003470CD" w:rsidRPr="003470CD" w:rsidRDefault="003470CD" w:rsidP="00055ED9">
      <w:pPr>
        <w:spacing w:after="0"/>
        <w:ind w:left="1134"/>
        <w:rPr>
          <w:sz w:val="24"/>
          <w:szCs w:val="24"/>
        </w:rPr>
      </w:pPr>
      <w:r w:rsidRPr="003470CD">
        <w:rPr>
          <w:sz w:val="24"/>
          <w:szCs w:val="24"/>
        </w:rPr>
        <w:t xml:space="preserve">„Unter diesen Juden, die um die Taufe flehen, kniet auch der </w:t>
      </w:r>
      <w:proofErr w:type="spellStart"/>
      <w:r w:rsidRPr="003470CD">
        <w:rPr>
          <w:sz w:val="24"/>
          <w:szCs w:val="24"/>
        </w:rPr>
        <w:t>Rabbane</w:t>
      </w:r>
      <w:proofErr w:type="spellEnd"/>
      <w:r w:rsidRPr="003470CD">
        <w:rPr>
          <w:sz w:val="24"/>
          <w:szCs w:val="24"/>
        </w:rPr>
        <w:t xml:space="preserve"> des heimgesuchten Ortes, Salomon Halevi.“</w:t>
      </w:r>
      <w:r w:rsidR="001C198B">
        <w:rPr>
          <w:rStyle w:val="Funotenzeichen"/>
          <w:sz w:val="24"/>
          <w:szCs w:val="24"/>
        </w:rPr>
        <w:footnoteReference w:id="37"/>
      </w:r>
      <w:r w:rsidRPr="003470CD">
        <w:rPr>
          <w:sz w:val="24"/>
          <w:szCs w:val="24"/>
        </w:rPr>
        <w:t xml:space="preserve"> </w:t>
      </w:r>
    </w:p>
    <w:p w:rsidR="00055ED9" w:rsidRDefault="00786DD2" w:rsidP="00055ED9">
      <w:pPr>
        <w:spacing w:after="0"/>
        <w:rPr>
          <w:sz w:val="24"/>
          <w:szCs w:val="24"/>
        </w:rPr>
      </w:pPr>
      <w:r>
        <w:rPr>
          <w:sz w:val="24"/>
          <w:szCs w:val="24"/>
        </w:rPr>
        <w:t>Im Schlussteil dieses Kapitels seines Buches</w:t>
      </w:r>
      <w:r w:rsidR="00320994">
        <w:rPr>
          <w:sz w:val="24"/>
          <w:szCs w:val="24"/>
        </w:rPr>
        <w:t xml:space="preserve"> kommt</w:t>
      </w:r>
      <w:r w:rsidR="00055ED9">
        <w:rPr>
          <w:sz w:val="24"/>
          <w:szCs w:val="24"/>
        </w:rPr>
        <w:t xml:space="preserve"> </w:t>
      </w:r>
      <w:proofErr w:type="spellStart"/>
      <w:r w:rsidR="00320994">
        <w:rPr>
          <w:sz w:val="24"/>
          <w:szCs w:val="24"/>
        </w:rPr>
        <w:t>Marcu</w:t>
      </w:r>
      <w:proofErr w:type="spellEnd"/>
      <w:r w:rsidR="00320994">
        <w:rPr>
          <w:sz w:val="24"/>
          <w:szCs w:val="24"/>
        </w:rPr>
        <w:t xml:space="preserve"> </w:t>
      </w:r>
      <w:r w:rsidR="00055ED9">
        <w:rPr>
          <w:sz w:val="24"/>
          <w:szCs w:val="24"/>
        </w:rPr>
        <w:t>noch einmal auf sein schon eingangs geäußertes Urteil über die Renegaten zurück</w:t>
      </w:r>
      <w:r w:rsidR="00320994">
        <w:rPr>
          <w:sz w:val="24"/>
          <w:szCs w:val="24"/>
        </w:rPr>
        <w:t>, wobei er diesmal etwas vorsichtiger formuliert, also auf die Basis des spanischen Antisemitismus eingeht, dessen Grundlage „das Territorium“, also die Gesamtheit Spaniens, ist.</w:t>
      </w:r>
      <w:r w:rsidR="005066BF">
        <w:rPr>
          <w:rStyle w:val="Funotenzeichen"/>
          <w:sz w:val="24"/>
          <w:szCs w:val="24"/>
        </w:rPr>
        <w:footnoteReference w:id="38"/>
      </w:r>
      <w:r w:rsidR="00320994">
        <w:rPr>
          <w:sz w:val="24"/>
          <w:szCs w:val="24"/>
        </w:rPr>
        <w:t xml:space="preserve"> </w:t>
      </w:r>
      <w:r w:rsidR="000A1E4D">
        <w:rPr>
          <w:sz w:val="24"/>
          <w:szCs w:val="24"/>
        </w:rPr>
        <w:t>Wirklich a</w:t>
      </w:r>
      <w:r w:rsidR="00320994">
        <w:rPr>
          <w:sz w:val="24"/>
          <w:szCs w:val="24"/>
        </w:rPr>
        <w:t>bgemildert wird das Urteil da</w:t>
      </w:r>
      <w:r w:rsidR="000A1E4D">
        <w:rPr>
          <w:sz w:val="24"/>
          <w:szCs w:val="24"/>
        </w:rPr>
        <w:t>durch</w:t>
      </w:r>
      <w:r w:rsidR="00320994">
        <w:rPr>
          <w:sz w:val="24"/>
          <w:szCs w:val="24"/>
        </w:rPr>
        <w:t xml:space="preserve"> nicht</w:t>
      </w:r>
      <w:r w:rsidR="002A07C3">
        <w:rPr>
          <w:sz w:val="24"/>
          <w:szCs w:val="24"/>
        </w:rPr>
        <w:t>:</w:t>
      </w:r>
      <w:r w:rsidR="00055ED9">
        <w:rPr>
          <w:sz w:val="24"/>
          <w:szCs w:val="24"/>
        </w:rPr>
        <w:t xml:space="preserve"> </w:t>
      </w:r>
    </w:p>
    <w:p w:rsidR="003470CD" w:rsidRPr="003470CD" w:rsidRDefault="003470CD" w:rsidP="00055ED9">
      <w:pPr>
        <w:spacing w:after="0"/>
        <w:ind w:left="1134"/>
        <w:rPr>
          <w:sz w:val="24"/>
          <w:szCs w:val="24"/>
        </w:rPr>
      </w:pPr>
      <w:r w:rsidRPr="003470CD">
        <w:rPr>
          <w:sz w:val="24"/>
          <w:szCs w:val="24"/>
        </w:rPr>
        <w:t xml:space="preserve">„Diese Spätgetauften haben den </w:t>
      </w:r>
      <w:proofErr w:type="spellStart"/>
      <w:r w:rsidRPr="003470CD">
        <w:rPr>
          <w:sz w:val="24"/>
          <w:szCs w:val="24"/>
        </w:rPr>
        <w:t>Haß</w:t>
      </w:r>
      <w:proofErr w:type="spellEnd"/>
      <w:r w:rsidRPr="003470CD">
        <w:rPr>
          <w:sz w:val="24"/>
          <w:szCs w:val="24"/>
        </w:rPr>
        <w:t xml:space="preserve"> gegen alles Jüdische nicht erfunden, der eine viel breitere Basis hatte – so groß wie das Territorium </w:t>
      </w:r>
      <w:proofErr w:type="spellStart"/>
      <w:r w:rsidRPr="003470CD">
        <w:rPr>
          <w:sz w:val="24"/>
          <w:szCs w:val="24"/>
        </w:rPr>
        <w:t>Hiberiens</w:t>
      </w:r>
      <w:proofErr w:type="spellEnd"/>
      <w:r w:rsidRPr="003470CD">
        <w:rPr>
          <w:sz w:val="24"/>
          <w:szCs w:val="24"/>
        </w:rPr>
        <w:t xml:space="preserve"> selbst. Die Renegaten verhal</w:t>
      </w:r>
      <w:r w:rsidR="00FB5898">
        <w:rPr>
          <w:sz w:val="24"/>
          <w:szCs w:val="24"/>
        </w:rPr>
        <w:t>f</w:t>
      </w:r>
      <w:r w:rsidRPr="003470CD">
        <w:rPr>
          <w:sz w:val="24"/>
          <w:szCs w:val="24"/>
        </w:rPr>
        <w:t>en aber der antijüdischen Bewegung zum Durchbruch, arbeiteten, um sie zu systematisieren, um sie zu verankern, um sie in eine gesetzliche Form zu gießen.“</w:t>
      </w:r>
      <w:r w:rsidR="001C198B">
        <w:rPr>
          <w:rStyle w:val="Funotenzeichen"/>
          <w:sz w:val="24"/>
          <w:szCs w:val="24"/>
        </w:rPr>
        <w:footnoteReference w:id="39"/>
      </w:r>
    </w:p>
    <w:p w:rsidR="00993886" w:rsidRDefault="00FB5898" w:rsidP="005309BA">
      <w:pPr>
        <w:spacing w:after="0"/>
        <w:rPr>
          <w:sz w:val="24"/>
          <w:szCs w:val="24"/>
        </w:rPr>
      </w:pPr>
      <w:r>
        <w:rPr>
          <w:sz w:val="24"/>
          <w:szCs w:val="24"/>
        </w:rPr>
        <w:t xml:space="preserve">Der Vorwurf, die Renegaten hätten dazu beigetragen, die antijüdische Bewegung „zu systematisieren, […] zu verankern, um sie in eine gesetzliche Form zu gießen“, ist </w:t>
      </w:r>
      <w:r w:rsidR="002A07C3">
        <w:rPr>
          <w:sz w:val="24"/>
          <w:szCs w:val="24"/>
        </w:rPr>
        <w:t xml:space="preserve">in spezifischer Weise </w:t>
      </w:r>
      <w:r>
        <w:rPr>
          <w:sz w:val="24"/>
          <w:szCs w:val="24"/>
        </w:rPr>
        <w:t>schwerwiegend</w:t>
      </w:r>
      <w:r w:rsidR="002A07C3">
        <w:rPr>
          <w:sz w:val="24"/>
          <w:szCs w:val="24"/>
        </w:rPr>
        <w:t>, weil er unausgesprochen Bezug auf den Talmud und die Talmud-Studien dieser ehemaligen Rabbiner nimmt</w:t>
      </w:r>
      <w:r w:rsidR="00216C86">
        <w:rPr>
          <w:sz w:val="24"/>
          <w:szCs w:val="24"/>
        </w:rPr>
        <w:t>.</w:t>
      </w:r>
      <w:r>
        <w:rPr>
          <w:sz w:val="24"/>
          <w:szCs w:val="24"/>
        </w:rPr>
        <w:t xml:space="preserve"> </w:t>
      </w:r>
    </w:p>
    <w:p w:rsidR="002A32AD" w:rsidRDefault="002A32AD" w:rsidP="005309BA">
      <w:pPr>
        <w:spacing w:after="0"/>
        <w:rPr>
          <w:sz w:val="24"/>
          <w:szCs w:val="24"/>
        </w:rPr>
      </w:pPr>
    </w:p>
    <w:p w:rsidR="009560D8" w:rsidRDefault="00216C86" w:rsidP="005309BA">
      <w:pPr>
        <w:spacing w:after="0"/>
        <w:rPr>
          <w:sz w:val="24"/>
          <w:szCs w:val="24"/>
        </w:rPr>
      </w:pPr>
      <w:r>
        <w:rPr>
          <w:sz w:val="24"/>
          <w:szCs w:val="24"/>
        </w:rPr>
        <w:tab/>
      </w:r>
      <w:r w:rsidR="002A07C3">
        <w:rPr>
          <w:sz w:val="24"/>
          <w:szCs w:val="24"/>
        </w:rPr>
        <w:t xml:space="preserve">Ein weiterer </w:t>
      </w:r>
      <w:r w:rsidR="000A1E4D">
        <w:rPr>
          <w:sz w:val="24"/>
          <w:szCs w:val="24"/>
        </w:rPr>
        <w:t xml:space="preserve">thematischer </w:t>
      </w:r>
      <w:r w:rsidR="002A07C3">
        <w:rPr>
          <w:sz w:val="24"/>
          <w:szCs w:val="24"/>
        </w:rPr>
        <w:t>Schwerpunkt ist de</w:t>
      </w:r>
      <w:r w:rsidR="0021631D">
        <w:rPr>
          <w:sz w:val="24"/>
          <w:szCs w:val="24"/>
        </w:rPr>
        <w:t xml:space="preserve">m Zusammenspiel von Monarchie und </w:t>
      </w:r>
      <w:r>
        <w:rPr>
          <w:sz w:val="24"/>
          <w:szCs w:val="24"/>
        </w:rPr>
        <w:t xml:space="preserve">Kirche </w:t>
      </w:r>
      <w:r w:rsidR="002A07C3">
        <w:rPr>
          <w:sz w:val="24"/>
          <w:szCs w:val="24"/>
        </w:rPr>
        <w:t xml:space="preserve">im </w:t>
      </w:r>
      <w:r w:rsidR="0021631D">
        <w:rPr>
          <w:sz w:val="24"/>
          <w:szCs w:val="24"/>
        </w:rPr>
        <w:t>Abl</w:t>
      </w:r>
      <w:r w:rsidR="002A07C3">
        <w:rPr>
          <w:sz w:val="24"/>
          <w:szCs w:val="24"/>
        </w:rPr>
        <w:t xml:space="preserve">auf der Verfolgung gewidmet. </w:t>
      </w:r>
      <w:r w:rsidR="0021631D">
        <w:rPr>
          <w:sz w:val="24"/>
          <w:szCs w:val="24"/>
        </w:rPr>
        <w:t xml:space="preserve">Die Kirchenämter werden durch die </w:t>
      </w:r>
      <w:r w:rsidR="000A1E4D">
        <w:rPr>
          <w:sz w:val="24"/>
          <w:szCs w:val="24"/>
        </w:rPr>
        <w:t xml:space="preserve">beiden </w:t>
      </w:r>
      <w:r w:rsidR="0021631D">
        <w:rPr>
          <w:sz w:val="24"/>
          <w:szCs w:val="24"/>
        </w:rPr>
        <w:t xml:space="preserve">Monarchen, also von Ferdinand und Isabella, besetzt. </w:t>
      </w:r>
      <w:r w:rsidR="009560D8">
        <w:rPr>
          <w:sz w:val="24"/>
          <w:szCs w:val="24"/>
        </w:rPr>
        <w:t xml:space="preserve">So absolut die Macht der beiden Monarchen </w:t>
      </w:r>
      <w:r w:rsidR="000A1E4D">
        <w:rPr>
          <w:sz w:val="24"/>
          <w:szCs w:val="24"/>
        </w:rPr>
        <w:t>ist</w:t>
      </w:r>
      <w:r w:rsidR="009560D8">
        <w:rPr>
          <w:sz w:val="24"/>
          <w:szCs w:val="24"/>
        </w:rPr>
        <w:t xml:space="preserve"> – sie </w:t>
      </w:r>
      <w:r w:rsidR="005066BF">
        <w:rPr>
          <w:sz w:val="24"/>
          <w:szCs w:val="24"/>
        </w:rPr>
        <w:t>werden</w:t>
      </w:r>
      <w:r w:rsidR="009560D8">
        <w:rPr>
          <w:sz w:val="24"/>
          <w:szCs w:val="24"/>
        </w:rPr>
        <w:t xml:space="preserve"> </w:t>
      </w:r>
      <w:r w:rsidR="005066BF">
        <w:rPr>
          <w:sz w:val="24"/>
          <w:szCs w:val="24"/>
        </w:rPr>
        <w:t>bei</w:t>
      </w:r>
      <w:r w:rsidR="009560D8">
        <w:rPr>
          <w:sz w:val="24"/>
          <w:szCs w:val="24"/>
        </w:rPr>
        <w:t xml:space="preserve"> ihren Entscheidungen, wie </w:t>
      </w:r>
      <w:proofErr w:type="spellStart"/>
      <w:r w:rsidR="009560D8">
        <w:rPr>
          <w:sz w:val="24"/>
          <w:szCs w:val="24"/>
        </w:rPr>
        <w:t>Marcu</w:t>
      </w:r>
      <w:proofErr w:type="spellEnd"/>
      <w:r w:rsidR="009560D8">
        <w:rPr>
          <w:sz w:val="24"/>
          <w:szCs w:val="24"/>
        </w:rPr>
        <w:t xml:space="preserve"> hervorhebt, </w:t>
      </w:r>
      <w:r w:rsidR="005066BF">
        <w:rPr>
          <w:sz w:val="24"/>
          <w:szCs w:val="24"/>
        </w:rPr>
        <w:t>von der</w:t>
      </w:r>
      <w:r w:rsidR="00965F47">
        <w:rPr>
          <w:sz w:val="24"/>
          <w:szCs w:val="24"/>
        </w:rPr>
        <w:t xml:space="preserve"> Überzeugung </w:t>
      </w:r>
      <w:r w:rsidR="005066BF">
        <w:rPr>
          <w:sz w:val="24"/>
          <w:szCs w:val="24"/>
        </w:rPr>
        <w:t>geleite</w:t>
      </w:r>
      <w:r w:rsidR="00965F47">
        <w:rPr>
          <w:sz w:val="24"/>
          <w:szCs w:val="24"/>
        </w:rPr>
        <w:t xml:space="preserve">t, dass </w:t>
      </w:r>
      <w:r w:rsidR="005066BF">
        <w:rPr>
          <w:sz w:val="24"/>
          <w:szCs w:val="24"/>
        </w:rPr>
        <w:t xml:space="preserve">nicht die Macht, sondern </w:t>
      </w:r>
      <w:r w:rsidR="009560D8" w:rsidRPr="005066BF">
        <w:rPr>
          <w:i/>
          <w:sz w:val="24"/>
          <w:szCs w:val="24"/>
        </w:rPr>
        <w:t>de</w:t>
      </w:r>
      <w:r w:rsidR="00965F47" w:rsidRPr="005066BF">
        <w:rPr>
          <w:i/>
          <w:sz w:val="24"/>
          <w:szCs w:val="24"/>
        </w:rPr>
        <w:t>r</w:t>
      </w:r>
      <w:r w:rsidR="009560D8" w:rsidRPr="005066BF">
        <w:rPr>
          <w:i/>
          <w:sz w:val="24"/>
          <w:szCs w:val="24"/>
        </w:rPr>
        <w:t xml:space="preserve"> Glaube</w:t>
      </w:r>
      <w:r w:rsidR="00965F47">
        <w:rPr>
          <w:sz w:val="24"/>
          <w:szCs w:val="24"/>
        </w:rPr>
        <w:t xml:space="preserve"> das</w:t>
      </w:r>
      <w:r w:rsidR="000A1E4D">
        <w:rPr>
          <w:sz w:val="24"/>
          <w:szCs w:val="24"/>
        </w:rPr>
        <w:t xml:space="preserve"> „Fundament des Staates“ </w:t>
      </w:r>
      <w:r w:rsidR="00965F47">
        <w:rPr>
          <w:sz w:val="24"/>
          <w:szCs w:val="24"/>
        </w:rPr>
        <w:t>sei</w:t>
      </w:r>
      <w:r w:rsidR="005066BF">
        <w:rPr>
          <w:sz w:val="24"/>
          <w:szCs w:val="24"/>
        </w:rPr>
        <w:t>,</w:t>
      </w:r>
      <w:r w:rsidR="00965F47">
        <w:rPr>
          <w:sz w:val="24"/>
          <w:szCs w:val="24"/>
        </w:rPr>
        <w:t xml:space="preserve"> zudem </w:t>
      </w:r>
      <w:r w:rsidR="005066BF">
        <w:rPr>
          <w:sz w:val="24"/>
          <w:szCs w:val="24"/>
        </w:rPr>
        <w:t>die Basis ihrer eigenen Existenz</w:t>
      </w:r>
      <w:r w:rsidR="009560D8">
        <w:rPr>
          <w:sz w:val="24"/>
          <w:szCs w:val="24"/>
        </w:rPr>
        <w:t>:</w:t>
      </w:r>
    </w:p>
    <w:p w:rsidR="0021631D" w:rsidRDefault="009560D8" w:rsidP="009560D8">
      <w:pPr>
        <w:spacing w:after="0"/>
        <w:ind w:left="1134"/>
        <w:rPr>
          <w:sz w:val="24"/>
          <w:szCs w:val="24"/>
        </w:rPr>
      </w:pPr>
      <w:r>
        <w:rPr>
          <w:sz w:val="24"/>
          <w:szCs w:val="24"/>
        </w:rPr>
        <w:t xml:space="preserve">„Der Glaube war ihnen nicht nur das Fundament des Staates, er war auch das ihrer ureigensten Existenz. Ohne die große Gnade des Himmels, den Glauben, hätten sie </w:t>
      </w:r>
      <w:proofErr w:type="spellStart"/>
      <w:r>
        <w:rPr>
          <w:sz w:val="24"/>
          <w:szCs w:val="24"/>
        </w:rPr>
        <w:t>ebensowenig</w:t>
      </w:r>
      <w:proofErr w:type="spellEnd"/>
      <w:r>
        <w:rPr>
          <w:sz w:val="24"/>
          <w:szCs w:val="24"/>
        </w:rPr>
        <w:t xml:space="preserve"> leben, wie ohne Licht sehen können. Ihr tiefer Glaube gab ihnen die Kraft, alle Gegensätze der äußeren Welt zu überwinden. Er schenkte ihrem Leben die farbigste Intensität: Der Glaube vereinigte bei ihnen wie bei ihren frömmsten Zeitgenossen, die Fähigkeit zu höchster Barmherzigkeit und größter Grausamkeit, zur Fußwaschung der Armen </w:t>
      </w:r>
      <w:r w:rsidRPr="000A1E4D">
        <w:rPr>
          <w:i/>
          <w:sz w:val="24"/>
          <w:szCs w:val="24"/>
        </w:rPr>
        <w:t>und zur Marterung der Ketzer</w:t>
      </w:r>
      <w:r>
        <w:rPr>
          <w:sz w:val="24"/>
          <w:szCs w:val="24"/>
        </w:rPr>
        <w:t>.“</w:t>
      </w:r>
      <w:r>
        <w:rPr>
          <w:rStyle w:val="Funotenzeichen"/>
          <w:sz w:val="24"/>
          <w:szCs w:val="24"/>
        </w:rPr>
        <w:footnoteReference w:id="40"/>
      </w:r>
    </w:p>
    <w:p w:rsidR="00FB5898" w:rsidRPr="001F3B6F" w:rsidRDefault="00030CEF" w:rsidP="005309BA">
      <w:pPr>
        <w:spacing w:after="0"/>
        <w:rPr>
          <w:sz w:val="24"/>
          <w:szCs w:val="24"/>
        </w:rPr>
      </w:pPr>
      <w:r>
        <w:rPr>
          <w:sz w:val="24"/>
          <w:szCs w:val="24"/>
        </w:rPr>
        <w:t>Dies ist der Ausgangspunkt für ein überaus problematische</w:t>
      </w:r>
      <w:r w:rsidR="000A1E4D">
        <w:rPr>
          <w:sz w:val="24"/>
          <w:szCs w:val="24"/>
        </w:rPr>
        <w:t>s</w:t>
      </w:r>
      <w:r>
        <w:rPr>
          <w:sz w:val="24"/>
          <w:szCs w:val="24"/>
        </w:rPr>
        <w:t xml:space="preserve"> Zusammen</w:t>
      </w:r>
      <w:r w:rsidR="000A1E4D">
        <w:rPr>
          <w:sz w:val="24"/>
          <w:szCs w:val="24"/>
        </w:rPr>
        <w:t>spiel</w:t>
      </w:r>
      <w:r>
        <w:rPr>
          <w:sz w:val="24"/>
          <w:szCs w:val="24"/>
        </w:rPr>
        <w:t xml:space="preserve"> zwischen Monarchie und Kirche. </w:t>
      </w:r>
      <w:r w:rsidR="008F42F2">
        <w:rPr>
          <w:sz w:val="24"/>
          <w:szCs w:val="24"/>
        </w:rPr>
        <w:t xml:space="preserve">Die Kirche </w:t>
      </w:r>
      <w:r>
        <w:rPr>
          <w:sz w:val="24"/>
          <w:szCs w:val="24"/>
        </w:rPr>
        <w:t xml:space="preserve">ist dabei das treibende Element. Sie </w:t>
      </w:r>
      <w:r w:rsidR="008F42F2">
        <w:rPr>
          <w:sz w:val="24"/>
          <w:szCs w:val="24"/>
        </w:rPr>
        <w:t xml:space="preserve">fürchtet niemanden so </w:t>
      </w:r>
      <w:r w:rsidR="008F42F2">
        <w:rPr>
          <w:sz w:val="24"/>
          <w:szCs w:val="24"/>
        </w:rPr>
        <w:lastRenderedPageBreak/>
        <w:t xml:space="preserve">sehr wie </w:t>
      </w:r>
      <w:r w:rsidR="00216C86">
        <w:rPr>
          <w:sz w:val="24"/>
          <w:szCs w:val="24"/>
        </w:rPr>
        <w:t>die getauften Juden, die „</w:t>
      </w:r>
      <w:proofErr w:type="spellStart"/>
      <w:r w:rsidR="00216C86">
        <w:rPr>
          <w:sz w:val="24"/>
          <w:szCs w:val="24"/>
        </w:rPr>
        <w:t>Conversos</w:t>
      </w:r>
      <w:proofErr w:type="spellEnd"/>
      <w:r w:rsidR="00216C86">
        <w:rPr>
          <w:sz w:val="24"/>
          <w:szCs w:val="24"/>
        </w:rPr>
        <w:t>“ bzw. „Marranen“</w:t>
      </w:r>
      <w:r w:rsidR="00216C86">
        <w:rPr>
          <w:rStyle w:val="Funotenzeichen"/>
          <w:sz w:val="24"/>
          <w:szCs w:val="24"/>
        </w:rPr>
        <w:footnoteReference w:id="41"/>
      </w:r>
      <w:r w:rsidR="008F42F2">
        <w:rPr>
          <w:sz w:val="24"/>
          <w:szCs w:val="24"/>
        </w:rPr>
        <w:t>. Sie unterstellt ihnen Heimtücke</w:t>
      </w:r>
      <w:r w:rsidR="00F01F27">
        <w:rPr>
          <w:sz w:val="24"/>
          <w:szCs w:val="24"/>
        </w:rPr>
        <w:t>:</w:t>
      </w:r>
    </w:p>
    <w:p w:rsidR="000128E3" w:rsidRPr="001F3B6F" w:rsidRDefault="000128E3" w:rsidP="00F01F27">
      <w:pPr>
        <w:spacing w:after="0"/>
        <w:ind w:left="1134"/>
        <w:rPr>
          <w:sz w:val="24"/>
          <w:szCs w:val="24"/>
        </w:rPr>
      </w:pPr>
      <w:r w:rsidRPr="001F3B6F">
        <w:rPr>
          <w:sz w:val="24"/>
          <w:szCs w:val="24"/>
        </w:rPr>
        <w:t xml:space="preserve">„Diese Kirche sah den Feind in ihrem eignen Hause. Und es waren keine </w:t>
      </w:r>
      <w:proofErr w:type="spellStart"/>
      <w:r w:rsidRPr="001F3B6F">
        <w:rPr>
          <w:sz w:val="24"/>
          <w:szCs w:val="24"/>
        </w:rPr>
        <w:t>offnen</w:t>
      </w:r>
      <w:proofErr w:type="spellEnd"/>
      <w:r w:rsidRPr="001F3B6F">
        <w:rPr>
          <w:sz w:val="24"/>
          <w:szCs w:val="24"/>
        </w:rPr>
        <w:t xml:space="preserve"> H</w:t>
      </w:r>
      <w:r w:rsidR="00216C86">
        <w:rPr>
          <w:sz w:val="24"/>
          <w:szCs w:val="24"/>
        </w:rPr>
        <w:t>[ä]</w:t>
      </w:r>
      <w:proofErr w:type="spellStart"/>
      <w:r w:rsidRPr="001F3B6F">
        <w:rPr>
          <w:sz w:val="24"/>
          <w:szCs w:val="24"/>
        </w:rPr>
        <w:t>retiker</w:t>
      </w:r>
      <w:proofErr w:type="spellEnd"/>
      <w:r w:rsidRPr="001F3B6F">
        <w:rPr>
          <w:sz w:val="24"/>
          <w:szCs w:val="24"/>
        </w:rPr>
        <w:t>, keine halben Gottesleugner, keine verbohrten Sektierer, sonde</w:t>
      </w:r>
      <w:r w:rsidR="00216C86">
        <w:rPr>
          <w:sz w:val="24"/>
          <w:szCs w:val="24"/>
        </w:rPr>
        <w:t>r</w:t>
      </w:r>
      <w:r w:rsidRPr="001F3B6F">
        <w:rPr>
          <w:sz w:val="24"/>
          <w:szCs w:val="24"/>
        </w:rPr>
        <w:t xml:space="preserve">n viel heimtückischere Gestalten: Juden, die die Kirche </w:t>
      </w:r>
      <w:proofErr w:type="spellStart"/>
      <w:r w:rsidRPr="001F3B6F">
        <w:rPr>
          <w:sz w:val="24"/>
          <w:szCs w:val="24"/>
        </w:rPr>
        <w:t>haßte</w:t>
      </w:r>
      <w:proofErr w:type="spellEnd"/>
      <w:r w:rsidRPr="001F3B6F">
        <w:rPr>
          <w:sz w:val="24"/>
          <w:szCs w:val="24"/>
        </w:rPr>
        <w:t>, verschmähten, die aber das Lippenbekenntnis des Glaubens oft wiederholten. Das Christentum war ihnen nur eine notwendige, konventionelle Lüge; der Judaismus aber die geheime Lust, das große verborgene Laster. Jeder Marrane – schien der Kirche – trägt in sich das ganze Judentum.“</w:t>
      </w:r>
      <w:r w:rsidR="002A32AD">
        <w:rPr>
          <w:rStyle w:val="Funotenzeichen"/>
          <w:sz w:val="24"/>
          <w:szCs w:val="24"/>
        </w:rPr>
        <w:footnoteReference w:id="42"/>
      </w:r>
    </w:p>
    <w:p w:rsidR="008F42F2" w:rsidRDefault="002A32AD" w:rsidP="005309BA">
      <w:pPr>
        <w:spacing w:after="0"/>
        <w:rPr>
          <w:sz w:val="24"/>
          <w:szCs w:val="24"/>
        </w:rPr>
      </w:pPr>
      <w:r>
        <w:rPr>
          <w:sz w:val="24"/>
          <w:szCs w:val="24"/>
        </w:rPr>
        <w:t xml:space="preserve">Aus dem Geiste </w:t>
      </w:r>
      <w:r w:rsidR="008F42F2">
        <w:rPr>
          <w:sz w:val="24"/>
          <w:szCs w:val="24"/>
        </w:rPr>
        <w:t xml:space="preserve">dieses Hasses gegen den „Feind im eigenen Hause“ </w:t>
      </w:r>
      <w:r>
        <w:rPr>
          <w:sz w:val="24"/>
          <w:szCs w:val="24"/>
        </w:rPr>
        <w:t>erwächst die Inquisition.</w:t>
      </w:r>
      <w:r w:rsidR="000A1E4D">
        <w:rPr>
          <w:rStyle w:val="Funotenzeichen"/>
          <w:sz w:val="24"/>
          <w:szCs w:val="24"/>
        </w:rPr>
        <w:footnoteReference w:id="43"/>
      </w:r>
      <w:r w:rsidR="0021631D">
        <w:rPr>
          <w:sz w:val="24"/>
          <w:szCs w:val="24"/>
        </w:rPr>
        <w:t xml:space="preserve"> </w:t>
      </w:r>
    </w:p>
    <w:p w:rsidR="000128E3" w:rsidRPr="001F3B6F" w:rsidRDefault="008F42F2" w:rsidP="005309BA">
      <w:pPr>
        <w:spacing w:after="0"/>
        <w:rPr>
          <w:sz w:val="24"/>
          <w:szCs w:val="24"/>
        </w:rPr>
      </w:pPr>
      <w:r>
        <w:rPr>
          <w:sz w:val="24"/>
          <w:szCs w:val="24"/>
        </w:rPr>
        <w:tab/>
      </w:r>
      <w:proofErr w:type="spellStart"/>
      <w:r w:rsidR="00CF7B55">
        <w:rPr>
          <w:sz w:val="24"/>
          <w:szCs w:val="24"/>
        </w:rPr>
        <w:t>Marcu</w:t>
      </w:r>
      <w:proofErr w:type="spellEnd"/>
      <w:r w:rsidR="00CF7B55">
        <w:rPr>
          <w:sz w:val="24"/>
          <w:szCs w:val="24"/>
        </w:rPr>
        <w:t xml:space="preserve"> verurteilt die Inquisition mit aller Schärfe. Sein spezieller Vorwurf ist jedoch der der „Heuchelei“. Statt</w:t>
      </w:r>
      <w:r>
        <w:rPr>
          <w:sz w:val="24"/>
          <w:szCs w:val="24"/>
        </w:rPr>
        <w:t xml:space="preserve"> sich der Verantwortung für die Konsequenzen</w:t>
      </w:r>
      <w:r w:rsidR="00CF7B55" w:rsidRPr="00CF7B55">
        <w:rPr>
          <w:sz w:val="24"/>
          <w:szCs w:val="24"/>
        </w:rPr>
        <w:t xml:space="preserve"> </w:t>
      </w:r>
      <w:r w:rsidR="000D1F0C">
        <w:rPr>
          <w:sz w:val="24"/>
          <w:szCs w:val="24"/>
        </w:rPr>
        <w:t xml:space="preserve">ihres Handelns </w:t>
      </w:r>
      <w:r w:rsidR="00CF7B55">
        <w:rPr>
          <w:sz w:val="24"/>
          <w:szCs w:val="24"/>
        </w:rPr>
        <w:t>offen zu stellen</w:t>
      </w:r>
      <w:r>
        <w:rPr>
          <w:sz w:val="24"/>
          <w:szCs w:val="24"/>
        </w:rPr>
        <w:t xml:space="preserve">, die </w:t>
      </w:r>
      <w:r w:rsidR="00CF7B55">
        <w:rPr>
          <w:sz w:val="24"/>
          <w:szCs w:val="24"/>
        </w:rPr>
        <w:t xml:space="preserve">sich </w:t>
      </w:r>
      <w:r>
        <w:rPr>
          <w:sz w:val="24"/>
          <w:szCs w:val="24"/>
        </w:rPr>
        <w:t>aus dem erbarmungslosen Kampf gegen die angeblichen „Häretiker“ ergeben,</w:t>
      </w:r>
      <w:r w:rsidR="00CF7B55">
        <w:rPr>
          <w:sz w:val="24"/>
          <w:szCs w:val="24"/>
        </w:rPr>
        <w:t xml:space="preserve"> delegiert die Inquisition den </w:t>
      </w:r>
      <w:r w:rsidR="00CF7B55" w:rsidRPr="00CF7B55">
        <w:rPr>
          <w:i/>
          <w:sz w:val="24"/>
          <w:szCs w:val="24"/>
        </w:rPr>
        <w:t xml:space="preserve">Vollzug </w:t>
      </w:r>
      <w:r w:rsidR="00CF7B55" w:rsidRPr="00AF0AEF">
        <w:rPr>
          <w:sz w:val="24"/>
          <w:szCs w:val="24"/>
        </w:rPr>
        <w:t>der Urteile</w:t>
      </w:r>
      <w:r w:rsidR="00CF7B55">
        <w:rPr>
          <w:sz w:val="24"/>
          <w:szCs w:val="24"/>
        </w:rPr>
        <w:t xml:space="preserve"> an die weltlichen Instanzen, </w:t>
      </w:r>
      <w:r w:rsidR="000D1F0C">
        <w:rPr>
          <w:sz w:val="24"/>
          <w:szCs w:val="24"/>
        </w:rPr>
        <w:t xml:space="preserve">zudem </w:t>
      </w:r>
      <w:r w:rsidR="00CF7B55">
        <w:rPr>
          <w:sz w:val="24"/>
          <w:szCs w:val="24"/>
        </w:rPr>
        <w:t>begleitet vom öffentlich geäußerten „Mitleid“ mit den Verurteilten. Dadurch w</w:t>
      </w:r>
      <w:r w:rsidR="000D1F0C">
        <w:rPr>
          <w:sz w:val="24"/>
          <w:szCs w:val="24"/>
        </w:rPr>
        <w:t>i</w:t>
      </w:r>
      <w:r w:rsidR="00CF7B55">
        <w:rPr>
          <w:sz w:val="24"/>
          <w:szCs w:val="24"/>
        </w:rPr>
        <w:t>rd eine formale Abgrenzung zwischen dem kirchlichen und dem weltlichen Gericht suggeriert, die in Wahrheit nicht best</w:t>
      </w:r>
      <w:r w:rsidR="000D1F0C">
        <w:rPr>
          <w:sz w:val="24"/>
          <w:szCs w:val="24"/>
        </w:rPr>
        <w:t>eht</w:t>
      </w:r>
      <w:r w:rsidR="00CF7B55">
        <w:rPr>
          <w:sz w:val="24"/>
          <w:szCs w:val="24"/>
        </w:rPr>
        <w:t>:</w:t>
      </w:r>
      <w:r w:rsidR="002A32AD">
        <w:rPr>
          <w:sz w:val="24"/>
          <w:szCs w:val="24"/>
        </w:rPr>
        <w:t xml:space="preserve"> </w:t>
      </w:r>
    </w:p>
    <w:p w:rsidR="009F7236" w:rsidRPr="001F3B6F" w:rsidRDefault="009F7236" w:rsidP="00285CB3">
      <w:pPr>
        <w:spacing w:after="0"/>
        <w:ind w:left="1134"/>
        <w:rPr>
          <w:sz w:val="24"/>
          <w:szCs w:val="24"/>
        </w:rPr>
      </w:pPr>
      <w:r w:rsidRPr="001F3B6F">
        <w:rPr>
          <w:sz w:val="24"/>
          <w:szCs w:val="24"/>
        </w:rPr>
        <w:t xml:space="preserve">„Das Glaubensgericht führte alle Worte des Mitleids mit fremdem Übel im Munde. Dadurch </w:t>
      </w:r>
      <w:r w:rsidR="00CF7B55">
        <w:rPr>
          <w:sz w:val="24"/>
          <w:szCs w:val="24"/>
        </w:rPr>
        <w:t>u</w:t>
      </w:r>
      <w:r w:rsidRPr="001F3B6F">
        <w:rPr>
          <w:sz w:val="24"/>
          <w:szCs w:val="24"/>
        </w:rPr>
        <w:t xml:space="preserve">nterschied es sich von weltlichen Gerichten, nicht durch die Schwere seiner Strafen. Es war humaner. Seine Gefängnisse waren keine </w:t>
      </w:r>
      <w:proofErr w:type="spellStart"/>
      <w:r w:rsidRPr="001F3B6F">
        <w:rPr>
          <w:sz w:val="24"/>
          <w:szCs w:val="24"/>
        </w:rPr>
        <w:t>Verlie</w:t>
      </w:r>
      <w:proofErr w:type="spellEnd"/>
      <w:r w:rsidR="003F21F1">
        <w:rPr>
          <w:sz w:val="24"/>
          <w:szCs w:val="24"/>
        </w:rPr>
        <w:t>[s]</w:t>
      </w:r>
      <w:r w:rsidRPr="001F3B6F">
        <w:rPr>
          <w:sz w:val="24"/>
          <w:szCs w:val="24"/>
        </w:rPr>
        <w:t>e, und die Folter wurde nur in Ausnahmefällen angewandt.</w:t>
      </w:r>
    </w:p>
    <w:p w:rsidR="009F7236" w:rsidRPr="001F3B6F" w:rsidRDefault="009F7236" w:rsidP="00285CB3">
      <w:pPr>
        <w:spacing w:after="0"/>
        <w:ind w:left="1134"/>
        <w:rPr>
          <w:sz w:val="24"/>
          <w:szCs w:val="24"/>
        </w:rPr>
      </w:pPr>
      <w:r w:rsidRPr="001F3B6F">
        <w:rPr>
          <w:sz w:val="24"/>
          <w:szCs w:val="24"/>
        </w:rPr>
        <w:t>Was es von den königlichen und fürstlichen Gerichten unterschied, war das große Maß an Hypokrisie. Nach seinen Äußerungen zu urteilen, hätte man annehmen können, es tage eine Institution der Menschenliebe. Es selbst betrachtete sich auch als Heilanstalt. Der Kirche widerstrebt es, Blut zu vergießen, deshalb ließ die Inquisition die Verurteilten verbrennen. Sie erklärte überdies, sie wisse nicht, was mit ihnen geschehe, denn sie übergab sie zur Exekution dem weltlichen Arm, mit der Bitte um mildtätige Behandlung. Das Tribunal erklärte sich unverantwortlich für Strafen, zu denen es verdammt hatte, und deren Verwirklichung keine Instanz die Macht hatte, auch nur aufzuschieben. Der Henker war kein Beamter der Inquisition, sondern des Staates. Diese Tatsache benutzte das Gericht gern als Alibi.</w:t>
      </w:r>
      <w:r w:rsidR="00285CB3">
        <w:rPr>
          <w:sz w:val="24"/>
          <w:szCs w:val="24"/>
        </w:rPr>
        <w:t>“</w:t>
      </w:r>
      <w:r w:rsidR="00285CB3">
        <w:rPr>
          <w:rStyle w:val="Funotenzeichen"/>
          <w:sz w:val="24"/>
          <w:szCs w:val="24"/>
        </w:rPr>
        <w:footnoteReference w:id="44"/>
      </w:r>
    </w:p>
    <w:p w:rsidR="00285CB3" w:rsidRDefault="008F42F2" w:rsidP="002A32AD">
      <w:pPr>
        <w:spacing w:after="0"/>
        <w:rPr>
          <w:sz w:val="24"/>
          <w:szCs w:val="24"/>
        </w:rPr>
      </w:pPr>
      <w:r>
        <w:rPr>
          <w:sz w:val="24"/>
          <w:szCs w:val="24"/>
        </w:rPr>
        <w:t xml:space="preserve">Mitleid mit den </w:t>
      </w:r>
      <w:r w:rsidR="00BE4EA0">
        <w:rPr>
          <w:sz w:val="24"/>
          <w:szCs w:val="24"/>
        </w:rPr>
        <w:t>Sünder</w:t>
      </w:r>
      <w:r>
        <w:rPr>
          <w:sz w:val="24"/>
          <w:szCs w:val="24"/>
        </w:rPr>
        <w:t xml:space="preserve">n zu äußern gehört zu den traditionellen </w:t>
      </w:r>
      <w:r w:rsidR="00BE4EA0">
        <w:rPr>
          <w:sz w:val="24"/>
          <w:szCs w:val="24"/>
        </w:rPr>
        <w:t>Pflicht</w:t>
      </w:r>
      <w:r>
        <w:rPr>
          <w:sz w:val="24"/>
          <w:szCs w:val="24"/>
        </w:rPr>
        <w:t>en der Kirche. Die</w:t>
      </w:r>
      <w:r w:rsidR="00BE4EA0">
        <w:rPr>
          <w:sz w:val="24"/>
          <w:szCs w:val="24"/>
        </w:rPr>
        <w:t xml:space="preserve"> Barmherzigkeit</w:t>
      </w:r>
      <w:r>
        <w:rPr>
          <w:sz w:val="24"/>
          <w:szCs w:val="24"/>
        </w:rPr>
        <w:t xml:space="preserve"> begründet die Größe, die „Heiligkeit“ der Kirche. </w:t>
      </w:r>
      <w:r w:rsidR="00BE4EA0">
        <w:rPr>
          <w:sz w:val="24"/>
          <w:szCs w:val="24"/>
        </w:rPr>
        <w:t xml:space="preserve">Das falsche, geheuchelte Mitleid aber ist Verstellung. </w:t>
      </w:r>
      <w:r>
        <w:rPr>
          <w:sz w:val="24"/>
          <w:szCs w:val="24"/>
        </w:rPr>
        <w:t>D</w:t>
      </w:r>
      <w:r w:rsidR="00285CB3">
        <w:rPr>
          <w:sz w:val="24"/>
          <w:szCs w:val="24"/>
        </w:rPr>
        <w:t>ie</w:t>
      </w:r>
      <w:r w:rsidR="00BE4EA0">
        <w:rPr>
          <w:sz w:val="24"/>
          <w:szCs w:val="24"/>
        </w:rPr>
        <w:t>s</w:t>
      </w:r>
      <w:r w:rsidR="00285CB3">
        <w:rPr>
          <w:sz w:val="24"/>
          <w:szCs w:val="24"/>
        </w:rPr>
        <w:t xml:space="preserve"> </w:t>
      </w:r>
      <w:r w:rsidR="00BE4EA0">
        <w:rPr>
          <w:sz w:val="24"/>
          <w:szCs w:val="24"/>
        </w:rPr>
        <w:t>f</w:t>
      </w:r>
      <w:r w:rsidR="00285CB3">
        <w:rPr>
          <w:sz w:val="24"/>
          <w:szCs w:val="24"/>
        </w:rPr>
        <w:t>ührt</w:t>
      </w:r>
      <w:r w:rsidR="00BE4EA0">
        <w:rPr>
          <w:sz w:val="24"/>
          <w:szCs w:val="24"/>
        </w:rPr>
        <w:t xml:space="preserve">, wie </w:t>
      </w:r>
      <w:proofErr w:type="spellStart"/>
      <w:r w:rsidR="00BE4EA0">
        <w:rPr>
          <w:sz w:val="24"/>
          <w:szCs w:val="24"/>
        </w:rPr>
        <w:t>Marcu</w:t>
      </w:r>
      <w:proofErr w:type="spellEnd"/>
      <w:r w:rsidR="00BE4EA0">
        <w:rPr>
          <w:sz w:val="24"/>
          <w:szCs w:val="24"/>
        </w:rPr>
        <w:t xml:space="preserve"> berichtet,</w:t>
      </w:r>
      <w:r w:rsidR="00285CB3">
        <w:rPr>
          <w:sz w:val="24"/>
          <w:szCs w:val="24"/>
        </w:rPr>
        <w:t xml:space="preserve"> zu einer Intervention des Papstes</w:t>
      </w:r>
      <w:r w:rsidR="00BE4EA0">
        <w:rPr>
          <w:sz w:val="24"/>
          <w:szCs w:val="24"/>
        </w:rPr>
        <w:t xml:space="preserve"> bei den Monarchen</w:t>
      </w:r>
      <w:r w:rsidR="00285CB3">
        <w:rPr>
          <w:sz w:val="24"/>
          <w:szCs w:val="24"/>
        </w:rPr>
        <w:t>:</w:t>
      </w:r>
    </w:p>
    <w:p w:rsidR="009F7236" w:rsidRDefault="00285CB3" w:rsidP="00285CB3">
      <w:pPr>
        <w:spacing w:after="0"/>
        <w:ind w:left="1134"/>
        <w:rPr>
          <w:sz w:val="24"/>
          <w:szCs w:val="24"/>
        </w:rPr>
      </w:pPr>
      <w:r>
        <w:rPr>
          <w:sz w:val="24"/>
          <w:szCs w:val="24"/>
        </w:rPr>
        <w:lastRenderedPageBreak/>
        <w:t>„</w:t>
      </w:r>
      <w:r w:rsidR="009F7236" w:rsidRPr="001F3B6F">
        <w:rPr>
          <w:sz w:val="24"/>
          <w:szCs w:val="24"/>
        </w:rPr>
        <w:t xml:space="preserve">Der Papst wandte sich an Ferdinand und Isabella mit einer schweren </w:t>
      </w:r>
      <w:proofErr w:type="spellStart"/>
      <w:r w:rsidR="009F7236" w:rsidRPr="001F3B6F">
        <w:rPr>
          <w:sz w:val="24"/>
          <w:szCs w:val="24"/>
        </w:rPr>
        <w:t>Remonstranz</w:t>
      </w:r>
      <w:proofErr w:type="spellEnd"/>
      <w:r w:rsidR="009F7236" w:rsidRPr="001F3B6F">
        <w:rPr>
          <w:sz w:val="24"/>
          <w:szCs w:val="24"/>
        </w:rPr>
        <w:t xml:space="preserve"> und verspottete diese in die Augen springende Verstellung. Er erinnerte daran, </w:t>
      </w:r>
      <w:proofErr w:type="spellStart"/>
      <w:r w:rsidR="009F7236" w:rsidRPr="001F3B6F">
        <w:rPr>
          <w:sz w:val="24"/>
          <w:szCs w:val="24"/>
        </w:rPr>
        <w:t>daß</w:t>
      </w:r>
      <w:proofErr w:type="spellEnd"/>
      <w:r w:rsidR="009F7236" w:rsidRPr="001F3B6F">
        <w:rPr>
          <w:sz w:val="24"/>
          <w:szCs w:val="24"/>
        </w:rPr>
        <w:t xml:space="preserve"> Mitleid mit Sündern Gott wohlgefälliger sei als Strenge. Der Heilige Vater erklärte, er kenne selbst Menschen, die in Spanien verurteilt waren, die er als Märtyrer getrachtete, und denen er deshalb Absolution gegeben hätte.</w:t>
      </w:r>
      <w:r>
        <w:rPr>
          <w:sz w:val="24"/>
          <w:szCs w:val="24"/>
        </w:rPr>
        <w:t>“</w:t>
      </w:r>
      <w:r w:rsidR="00973BAE">
        <w:rPr>
          <w:rStyle w:val="Funotenzeichen"/>
          <w:sz w:val="24"/>
          <w:szCs w:val="24"/>
        </w:rPr>
        <w:footnoteReference w:id="45"/>
      </w:r>
    </w:p>
    <w:p w:rsidR="00285CB3" w:rsidRPr="001F3B6F" w:rsidRDefault="00285CB3" w:rsidP="002A32AD">
      <w:pPr>
        <w:spacing w:after="0"/>
        <w:rPr>
          <w:sz w:val="24"/>
          <w:szCs w:val="24"/>
        </w:rPr>
      </w:pPr>
      <w:r>
        <w:rPr>
          <w:sz w:val="24"/>
          <w:szCs w:val="24"/>
        </w:rPr>
        <w:t>Konsequenzen hat diese Intervention jedoch nicht</w:t>
      </w:r>
      <w:r w:rsidR="00BE4EA0">
        <w:rPr>
          <w:sz w:val="24"/>
          <w:szCs w:val="24"/>
        </w:rPr>
        <w:t xml:space="preserve">, wie </w:t>
      </w:r>
      <w:proofErr w:type="spellStart"/>
      <w:r w:rsidR="00BE4EA0">
        <w:rPr>
          <w:sz w:val="24"/>
          <w:szCs w:val="24"/>
        </w:rPr>
        <w:t>Marcu</w:t>
      </w:r>
      <w:proofErr w:type="spellEnd"/>
      <w:r w:rsidR="00BE4EA0">
        <w:rPr>
          <w:sz w:val="24"/>
          <w:szCs w:val="24"/>
        </w:rPr>
        <w:t xml:space="preserve"> klarstellt</w:t>
      </w:r>
      <w:r>
        <w:rPr>
          <w:sz w:val="24"/>
          <w:szCs w:val="24"/>
        </w:rPr>
        <w:t>:</w:t>
      </w:r>
    </w:p>
    <w:p w:rsidR="009F7236" w:rsidRDefault="00973BAE" w:rsidP="00973BAE">
      <w:pPr>
        <w:spacing w:after="0"/>
        <w:ind w:left="1134"/>
        <w:rPr>
          <w:sz w:val="24"/>
          <w:szCs w:val="24"/>
        </w:rPr>
      </w:pPr>
      <w:r>
        <w:rPr>
          <w:sz w:val="24"/>
          <w:szCs w:val="24"/>
        </w:rPr>
        <w:t>„</w:t>
      </w:r>
      <w:r w:rsidR="009F7236" w:rsidRPr="001F3B6F">
        <w:rPr>
          <w:sz w:val="24"/>
          <w:szCs w:val="24"/>
        </w:rPr>
        <w:t>Die Inquisition bestritt dem Papst ganz entschieden das Recht, ihre Angeklagten von der Sünde loszusprechen.</w:t>
      </w:r>
      <w:r>
        <w:rPr>
          <w:sz w:val="24"/>
          <w:szCs w:val="24"/>
        </w:rPr>
        <w:t>“</w:t>
      </w:r>
      <w:r>
        <w:rPr>
          <w:rStyle w:val="Funotenzeichen"/>
          <w:sz w:val="24"/>
          <w:szCs w:val="24"/>
        </w:rPr>
        <w:footnoteReference w:id="46"/>
      </w:r>
    </w:p>
    <w:p w:rsidR="00D648C5" w:rsidRDefault="00D648C5" w:rsidP="00D648C5">
      <w:pPr>
        <w:spacing w:after="0"/>
        <w:rPr>
          <w:sz w:val="24"/>
          <w:szCs w:val="24"/>
        </w:rPr>
      </w:pPr>
      <w:r>
        <w:rPr>
          <w:sz w:val="24"/>
          <w:szCs w:val="24"/>
        </w:rPr>
        <w:t>Die Inquisition besteht darauf, dass nur ihr – und keiner anderen Instanz – das Recht zustehe, über die Häretiker das Urteil zu fällen.</w:t>
      </w:r>
    </w:p>
    <w:p w:rsidR="002A32AD" w:rsidRDefault="00D648C5" w:rsidP="002A32AD">
      <w:pPr>
        <w:spacing w:after="0"/>
        <w:rPr>
          <w:sz w:val="24"/>
          <w:szCs w:val="24"/>
        </w:rPr>
      </w:pPr>
      <w:r>
        <w:rPr>
          <w:sz w:val="24"/>
          <w:szCs w:val="24"/>
        </w:rPr>
        <w:tab/>
      </w:r>
      <w:proofErr w:type="spellStart"/>
      <w:r>
        <w:rPr>
          <w:sz w:val="24"/>
          <w:szCs w:val="24"/>
        </w:rPr>
        <w:t>Marcu</w:t>
      </w:r>
      <w:proofErr w:type="spellEnd"/>
      <w:r w:rsidR="00973BAE">
        <w:rPr>
          <w:sz w:val="24"/>
          <w:szCs w:val="24"/>
        </w:rPr>
        <w:t xml:space="preserve"> kommentiert den Vorgang, indem er auf das aus seiner Sicht entscheidende Argument der Inquisition verweist</w:t>
      </w:r>
      <w:r>
        <w:rPr>
          <w:sz w:val="24"/>
          <w:szCs w:val="24"/>
        </w:rPr>
        <w:t>:</w:t>
      </w:r>
      <w:r w:rsidR="00973BAE">
        <w:rPr>
          <w:sz w:val="24"/>
          <w:szCs w:val="24"/>
        </w:rPr>
        <w:t xml:space="preserve"> „</w:t>
      </w:r>
      <w:proofErr w:type="spellStart"/>
      <w:r w:rsidR="00973BAE">
        <w:rPr>
          <w:sz w:val="24"/>
          <w:szCs w:val="24"/>
        </w:rPr>
        <w:t>daß</w:t>
      </w:r>
      <w:proofErr w:type="spellEnd"/>
      <w:r w:rsidR="00973BAE">
        <w:rPr>
          <w:sz w:val="24"/>
          <w:szCs w:val="24"/>
        </w:rPr>
        <w:t xml:space="preserve"> </w:t>
      </w:r>
      <w:r w:rsidR="00973BAE" w:rsidRPr="001F3B6F">
        <w:rPr>
          <w:sz w:val="24"/>
          <w:szCs w:val="24"/>
        </w:rPr>
        <w:t>ein mit jüdischem Blut Belasteter den Teufel in sich trüge</w:t>
      </w:r>
      <w:r w:rsidR="00973BAE">
        <w:rPr>
          <w:sz w:val="24"/>
          <w:szCs w:val="24"/>
        </w:rPr>
        <w:t>“</w:t>
      </w:r>
      <w:r>
        <w:rPr>
          <w:sz w:val="24"/>
          <w:szCs w:val="24"/>
        </w:rPr>
        <w:t>. Wer jedoch den Teufel in sich trägt, kann von der Sünde nicht losgesprochen werden</w:t>
      </w:r>
      <w:r w:rsidR="00973BAE">
        <w:rPr>
          <w:sz w:val="24"/>
          <w:szCs w:val="24"/>
        </w:rPr>
        <w:t>:</w:t>
      </w:r>
    </w:p>
    <w:p w:rsidR="009F7236" w:rsidRPr="001F3B6F" w:rsidRDefault="00973BAE" w:rsidP="00973BAE">
      <w:pPr>
        <w:spacing w:after="0"/>
        <w:ind w:left="1134"/>
        <w:rPr>
          <w:sz w:val="24"/>
          <w:szCs w:val="24"/>
        </w:rPr>
      </w:pPr>
      <w:r>
        <w:rPr>
          <w:sz w:val="24"/>
          <w:szCs w:val="24"/>
        </w:rPr>
        <w:t>„</w:t>
      </w:r>
      <w:r w:rsidR="009F7236" w:rsidRPr="001F3B6F">
        <w:rPr>
          <w:sz w:val="24"/>
          <w:szCs w:val="24"/>
        </w:rPr>
        <w:t xml:space="preserve">Wie in </w:t>
      </w:r>
      <w:proofErr w:type="spellStart"/>
      <w:r w:rsidR="009F7236" w:rsidRPr="001F3B6F">
        <w:rPr>
          <w:sz w:val="24"/>
          <w:szCs w:val="24"/>
        </w:rPr>
        <w:t>sovielen</w:t>
      </w:r>
      <w:proofErr w:type="spellEnd"/>
      <w:r w:rsidR="009F7236" w:rsidRPr="001F3B6F">
        <w:rPr>
          <w:sz w:val="24"/>
          <w:szCs w:val="24"/>
        </w:rPr>
        <w:t xml:space="preserve"> entscheidenden Dingen, spielte auch in diesem Streit das Nichtausgesprochene die wichtigste Rolle. Die Inquisition suchte die H</w:t>
      </w:r>
      <w:r w:rsidR="002A32AD">
        <w:rPr>
          <w:sz w:val="24"/>
          <w:szCs w:val="24"/>
        </w:rPr>
        <w:t>[ä]</w:t>
      </w:r>
      <w:proofErr w:type="spellStart"/>
      <w:r w:rsidR="009F7236" w:rsidRPr="001F3B6F">
        <w:rPr>
          <w:sz w:val="24"/>
          <w:szCs w:val="24"/>
        </w:rPr>
        <w:t>resie</w:t>
      </w:r>
      <w:proofErr w:type="spellEnd"/>
      <w:r w:rsidR="009F7236" w:rsidRPr="001F3B6F">
        <w:rPr>
          <w:sz w:val="24"/>
          <w:szCs w:val="24"/>
        </w:rPr>
        <w:t xml:space="preserve"> nicht nur in der Sünde des Judaismus, sondern auch im Blute.</w:t>
      </w:r>
    </w:p>
    <w:p w:rsidR="009F7236" w:rsidRPr="001F3B6F" w:rsidRDefault="009F7236" w:rsidP="00973BAE">
      <w:pPr>
        <w:spacing w:after="0"/>
        <w:ind w:left="1134"/>
        <w:rPr>
          <w:sz w:val="24"/>
          <w:szCs w:val="24"/>
        </w:rPr>
      </w:pPr>
      <w:r w:rsidRPr="001F3B6F">
        <w:rPr>
          <w:sz w:val="24"/>
          <w:szCs w:val="24"/>
        </w:rPr>
        <w:t>Auch wenn sie es nicht offen zugab, weil es den Grundelementen des Katholizismus wider</w:t>
      </w:r>
      <w:r w:rsidR="002A32AD">
        <w:rPr>
          <w:sz w:val="24"/>
          <w:szCs w:val="24"/>
        </w:rPr>
        <w:t>s</w:t>
      </w:r>
      <w:r w:rsidRPr="001F3B6F">
        <w:rPr>
          <w:sz w:val="24"/>
          <w:szCs w:val="24"/>
        </w:rPr>
        <w:t xml:space="preserve">prach, so war sie doch der Überzeugung, </w:t>
      </w:r>
      <w:proofErr w:type="spellStart"/>
      <w:r w:rsidRPr="001F3B6F">
        <w:rPr>
          <w:sz w:val="24"/>
          <w:szCs w:val="24"/>
        </w:rPr>
        <w:t>daß</w:t>
      </w:r>
      <w:proofErr w:type="spellEnd"/>
      <w:r w:rsidRPr="001F3B6F">
        <w:rPr>
          <w:sz w:val="24"/>
          <w:szCs w:val="24"/>
        </w:rPr>
        <w:t xml:space="preserve"> ein mit jüdischem Blut Belasteter den Teufel in sich trüge. Jüdische Abstammung </w:t>
      </w:r>
      <w:proofErr w:type="spellStart"/>
      <w:r w:rsidRPr="001F3B6F">
        <w:rPr>
          <w:sz w:val="24"/>
          <w:szCs w:val="24"/>
        </w:rPr>
        <w:t>schloß</w:t>
      </w:r>
      <w:proofErr w:type="spellEnd"/>
      <w:r w:rsidRPr="001F3B6F">
        <w:rPr>
          <w:sz w:val="24"/>
          <w:szCs w:val="24"/>
        </w:rPr>
        <w:t xml:space="preserve"> nach ihrer Ansicht eine allen Juden gemeinsame Art ein, einen geistigen und körperlichen Habitus, der allem Katholischen widersprach.“</w:t>
      </w:r>
      <w:r w:rsidR="00973BAE">
        <w:rPr>
          <w:rStyle w:val="Funotenzeichen"/>
          <w:sz w:val="24"/>
          <w:szCs w:val="24"/>
        </w:rPr>
        <w:footnoteReference w:id="47"/>
      </w:r>
    </w:p>
    <w:p w:rsidR="00055ED9" w:rsidRDefault="00B16883" w:rsidP="005309BA">
      <w:pPr>
        <w:spacing w:after="0"/>
        <w:rPr>
          <w:sz w:val="24"/>
          <w:szCs w:val="24"/>
        </w:rPr>
      </w:pPr>
      <w:r>
        <w:rPr>
          <w:sz w:val="24"/>
          <w:szCs w:val="24"/>
        </w:rPr>
        <w:t xml:space="preserve">Mit dem Hinweis auf die „gemeinsame Art“ war das Urteil über die </w:t>
      </w:r>
      <w:r w:rsidR="006D09F5">
        <w:rPr>
          <w:sz w:val="24"/>
          <w:szCs w:val="24"/>
        </w:rPr>
        <w:t xml:space="preserve">jüdische Bevölkerungsgruppe gefällt. Ein Wissenschaftler, der Madrider Arzt Juan </w:t>
      </w:r>
      <w:proofErr w:type="spellStart"/>
      <w:r w:rsidR="006D09F5">
        <w:rPr>
          <w:sz w:val="24"/>
          <w:szCs w:val="24"/>
        </w:rPr>
        <w:t>Huarte</w:t>
      </w:r>
      <w:proofErr w:type="spellEnd"/>
      <w:r w:rsidR="006D09F5">
        <w:rPr>
          <w:sz w:val="24"/>
          <w:szCs w:val="24"/>
        </w:rPr>
        <w:t xml:space="preserve"> de San Juan, lieferte sogar die wissenschaftlichen Argumente für die Richtigkeit der Behauptung.</w:t>
      </w:r>
      <w:r w:rsidR="006D09F5">
        <w:rPr>
          <w:rStyle w:val="Funotenzeichen"/>
          <w:sz w:val="24"/>
          <w:szCs w:val="24"/>
        </w:rPr>
        <w:footnoteReference w:id="48"/>
      </w:r>
    </w:p>
    <w:p w:rsidR="00D648C5" w:rsidRPr="001F3B6F" w:rsidRDefault="00D648C5" w:rsidP="005309BA">
      <w:pPr>
        <w:spacing w:after="0"/>
        <w:rPr>
          <w:sz w:val="24"/>
          <w:szCs w:val="24"/>
        </w:rPr>
      </w:pPr>
    </w:p>
    <w:p w:rsidR="00055ED9" w:rsidRPr="001F3B6F" w:rsidRDefault="009C0E02" w:rsidP="005309BA">
      <w:pPr>
        <w:spacing w:after="0"/>
        <w:rPr>
          <w:sz w:val="24"/>
          <w:szCs w:val="24"/>
        </w:rPr>
      </w:pPr>
      <w:r>
        <w:rPr>
          <w:sz w:val="24"/>
          <w:szCs w:val="24"/>
        </w:rPr>
        <w:tab/>
        <w:t>D</w:t>
      </w:r>
      <w:r w:rsidR="00D648C5">
        <w:rPr>
          <w:sz w:val="24"/>
          <w:szCs w:val="24"/>
        </w:rPr>
        <w:t>i</w:t>
      </w:r>
      <w:r>
        <w:rPr>
          <w:sz w:val="24"/>
          <w:szCs w:val="24"/>
        </w:rPr>
        <w:t xml:space="preserve">e entscheidende </w:t>
      </w:r>
      <w:r w:rsidR="00D648C5">
        <w:rPr>
          <w:sz w:val="24"/>
          <w:szCs w:val="24"/>
        </w:rPr>
        <w:t>Hilfe</w:t>
      </w:r>
      <w:r>
        <w:rPr>
          <w:sz w:val="24"/>
          <w:szCs w:val="24"/>
        </w:rPr>
        <w:t xml:space="preserve">, </w:t>
      </w:r>
      <w:r w:rsidR="00D648C5">
        <w:rPr>
          <w:sz w:val="24"/>
          <w:szCs w:val="24"/>
        </w:rPr>
        <w:t>die der Kirche ermöglichte, ihre</w:t>
      </w:r>
      <w:r>
        <w:rPr>
          <w:sz w:val="24"/>
          <w:szCs w:val="24"/>
        </w:rPr>
        <w:t xml:space="preserve"> Vorstellungen von Häresie und „unreinem Blut“ durchzusetzen, erwuchs jedoch aus der machtpolitischen Situation</w:t>
      </w:r>
      <w:r w:rsidR="00A36304">
        <w:rPr>
          <w:sz w:val="24"/>
          <w:szCs w:val="24"/>
        </w:rPr>
        <w:t xml:space="preserve"> im Lande</w:t>
      </w:r>
      <w:r w:rsidR="005D11CF">
        <w:rPr>
          <w:sz w:val="24"/>
          <w:szCs w:val="24"/>
        </w:rPr>
        <w:t>, der finanziellen Notlage der Krone</w:t>
      </w:r>
      <w:r w:rsidR="00D648C5">
        <w:rPr>
          <w:sz w:val="24"/>
          <w:szCs w:val="24"/>
        </w:rPr>
        <w:t xml:space="preserve"> und den </w:t>
      </w:r>
      <w:r w:rsidR="005D11CF">
        <w:rPr>
          <w:sz w:val="24"/>
          <w:szCs w:val="24"/>
        </w:rPr>
        <w:t>Möglichkeiten, diese Notlage durch die Aneignung des jüdischen Besitzes zu mildern</w:t>
      </w:r>
      <w:r>
        <w:rPr>
          <w:sz w:val="24"/>
          <w:szCs w:val="24"/>
        </w:rPr>
        <w:t>. Die jüdische Bevölkerungsgruppe war begütert</w:t>
      </w:r>
      <w:r w:rsidR="002A5EE0">
        <w:rPr>
          <w:sz w:val="24"/>
          <w:szCs w:val="24"/>
        </w:rPr>
        <w:t>, und bei einer Verurteilung von „Juden“ oder „</w:t>
      </w:r>
      <w:proofErr w:type="spellStart"/>
      <w:r w:rsidR="002A5EE0">
        <w:rPr>
          <w:sz w:val="24"/>
          <w:szCs w:val="24"/>
        </w:rPr>
        <w:t>Conversos</w:t>
      </w:r>
      <w:proofErr w:type="spellEnd"/>
      <w:r w:rsidR="002A5EE0">
        <w:rPr>
          <w:sz w:val="24"/>
          <w:szCs w:val="24"/>
        </w:rPr>
        <w:t>“ fiel der Besitz an die Krone</w:t>
      </w:r>
      <w:r w:rsidR="005D11CF">
        <w:rPr>
          <w:sz w:val="24"/>
          <w:szCs w:val="24"/>
        </w:rPr>
        <w:t xml:space="preserve">. </w:t>
      </w:r>
      <w:r w:rsidR="00A36304">
        <w:rPr>
          <w:sz w:val="24"/>
          <w:szCs w:val="24"/>
        </w:rPr>
        <w:t>Die Interessenlage der weltlichen Macht war offensichtlich, und gerade dieses Faktum ermöglichte es der Inquisition, die Verantwortung für die Verfolgung abzustreiten</w:t>
      </w:r>
      <w:r w:rsidR="00A36304" w:rsidRPr="00A36304">
        <w:rPr>
          <w:sz w:val="24"/>
          <w:szCs w:val="24"/>
        </w:rPr>
        <w:t xml:space="preserve"> </w:t>
      </w:r>
      <w:r w:rsidR="00A36304">
        <w:rPr>
          <w:sz w:val="24"/>
          <w:szCs w:val="24"/>
        </w:rPr>
        <w:t>und als „Lügengerüchte“ zu bezeichnen</w:t>
      </w:r>
      <w:r w:rsidR="002A5EE0">
        <w:rPr>
          <w:sz w:val="24"/>
          <w:szCs w:val="24"/>
        </w:rPr>
        <w:t xml:space="preserve">: </w:t>
      </w:r>
    </w:p>
    <w:p w:rsidR="002A5EE0" w:rsidRPr="001F3B6F" w:rsidRDefault="002A5EE0" w:rsidP="002A5EE0">
      <w:pPr>
        <w:spacing w:after="0"/>
        <w:ind w:left="1134"/>
        <w:rPr>
          <w:sz w:val="24"/>
          <w:szCs w:val="24"/>
        </w:rPr>
      </w:pPr>
      <w:r w:rsidRPr="001F3B6F">
        <w:rPr>
          <w:sz w:val="24"/>
          <w:szCs w:val="24"/>
        </w:rPr>
        <w:t xml:space="preserve">„Vor diesen leeren Kassen […] konnte sie [die Inquisition] sich mit reinem Gewissen gegen die ‚Lügengerüchte‘, die das Abendland erfüllten, in einer langen </w:t>
      </w:r>
      <w:proofErr w:type="spellStart"/>
      <w:r w:rsidRPr="001F3B6F">
        <w:rPr>
          <w:sz w:val="24"/>
          <w:szCs w:val="24"/>
        </w:rPr>
        <w:t>Remonstranz</w:t>
      </w:r>
      <w:proofErr w:type="spellEnd"/>
      <w:r w:rsidRPr="001F3B6F">
        <w:rPr>
          <w:sz w:val="24"/>
          <w:szCs w:val="24"/>
        </w:rPr>
        <w:t xml:space="preserve"> an den Papst beklagen: Verleumderische Kreaturen sagten und schrieben, </w:t>
      </w:r>
      <w:proofErr w:type="spellStart"/>
      <w:r w:rsidRPr="001F3B6F">
        <w:rPr>
          <w:sz w:val="24"/>
          <w:szCs w:val="24"/>
        </w:rPr>
        <w:t>Castilien</w:t>
      </w:r>
      <w:proofErr w:type="spellEnd"/>
      <w:r w:rsidRPr="001F3B6F">
        <w:rPr>
          <w:sz w:val="24"/>
          <w:szCs w:val="24"/>
        </w:rPr>
        <w:t xml:space="preserve"> und Aragon hätten das Glaubensgericht nur eingerichtet, um bequemer plündern zu können […]</w:t>
      </w:r>
      <w:r>
        <w:rPr>
          <w:sz w:val="24"/>
          <w:szCs w:val="24"/>
        </w:rPr>
        <w:t>.</w:t>
      </w:r>
      <w:r w:rsidRPr="001F3B6F">
        <w:rPr>
          <w:sz w:val="24"/>
          <w:szCs w:val="24"/>
        </w:rPr>
        <w:t>“</w:t>
      </w:r>
      <w:r>
        <w:rPr>
          <w:rStyle w:val="Funotenzeichen"/>
          <w:sz w:val="24"/>
          <w:szCs w:val="24"/>
        </w:rPr>
        <w:footnoteReference w:id="49"/>
      </w:r>
      <w:r w:rsidRPr="001F3B6F">
        <w:rPr>
          <w:sz w:val="24"/>
          <w:szCs w:val="24"/>
        </w:rPr>
        <w:t xml:space="preserve"> </w:t>
      </w:r>
    </w:p>
    <w:p w:rsidR="000128E3" w:rsidRPr="001F3B6F" w:rsidRDefault="002A5EE0" w:rsidP="002A5EE0">
      <w:pPr>
        <w:spacing w:after="0"/>
        <w:rPr>
          <w:sz w:val="24"/>
          <w:szCs w:val="24"/>
        </w:rPr>
      </w:pPr>
      <w:r>
        <w:rPr>
          <w:sz w:val="24"/>
          <w:szCs w:val="24"/>
        </w:rPr>
        <w:t xml:space="preserve">Der </w:t>
      </w:r>
      <w:r w:rsidRPr="00A36304">
        <w:rPr>
          <w:i/>
          <w:sz w:val="24"/>
          <w:szCs w:val="24"/>
        </w:rPr>
        <w:t xml:space="preserve">Justiz </w:t>
      </w:r>
      <w:r>
        <w:rPr>
          <w:sz w:val="24"/>
          <w:szCs w:val="24"/>
        </w:rPr>
        <w:t>kam unter diesen Umständen die Aufgabe zu, „</w:t>
      </w:r>
      <w:r w:rsidR="000128E3" w:rsidRPr="001F3B6F">
        <w:rPr>
          <w:sz w:val="24"/>
          <w:szCs w:val="24"/>
        </w:rPr>
        <w:t>de</w:t>
      </w:r>
      <w:r>
        <w:rPr>
          <w:sz w:val="24"/>
          <w:szCs w:val="24"/>
        </w:rPr>
        <w:t>m</w:t>
      </w:r>
      <w:r w:rsidR="000128E3" w:rsidRPr="001F3B6F">
        <w:rPr>
          <w:sz w:val="24"/>
          <w:szCs w:val="24"/>
        </w:rPr>
        <w:t xml:space="preserve"> Saat und der Inquisition Geld zu verschaffen</w:t>
      </w:r>
      <w:r>
        <w:rPr>
          <w:sz w:val="24"/>
          <w:szCs w:val="24"/>
        </w:rPr>
        <w:t>“. Dies geschah dann auf sehr einfache Art und Weise:</w:t>
      </w:r>
    </w:p>
    <w:p w:rsidR="000128E3" w:rsidRPr="001F3B6F" w:rsidRDefault="002A5EE0" w:rsidP="002A5EE0">
      <w:pPr>
        <w:spacing w:after="0"/>
        <w:ind w:left="1134"/>
        <w:rPr>
          <w:sz w:val="24"/>
          <w:szCs w:val="24"/>
        </w:rPr>
      </w:pPr>
      <w:r>
        <w:rPr>
          <w:sz w:val="24"/>
          <w:szCs w:val="24"/>
        </w:rPr>
        <w:lastRenderedPageBreak/>
        <w:t>„</w:t>
      </w:r>
      <w:r w:rsidR="000128E3" w:rsidRPr="001F3B6F">
        <w:rPr>
          <w:sz w:val="24"/>
          <w:szCs w:val="24"/>
        </w:rPr>
        <w:t xml:space="preserve">War der Angeklagte ein </w:t>
      </w:r>
      <w:proofErr w:type="spellStart"/>
      <w:r w:rsidR="000128E3" w:rsidRPr="001F3B6F">
        <w:rPr>
          <w:sz w:val="24"/>
          <w:szCs w:val="24"/>
        </w:rPr>
        <w:t>Selbstbezichtiger</w:t>
      </w:r>
      <w:proofErr w:type="spellEnd"/>
      <w:r w:rsidR="000128E3" w:rsidRPr="001F3B6F">
        <w:rPr>
          <w:sz w:val="24"/>
          <w:szCs w:val="24"/>
        </w:rPr>
        <w:t xml:space="preserve">, so </w:t>
      </w:r>
      <w:proofErr w:type="spellStart"/>
      <w:r w:rsidR="000128E3" w:rsidRPr="001F3B6F">
        <w:rPr>
          <w:sz w:val="24"/>
          <w:szCs w:val="24"/>
        </w:rPr>
        <w:t>mußte</w:t>
      </w:r>
      <w:proofErr w:type="spellEnd"/>
      <w:r w:rsidR="000128E3" w:rsidRPr="001F3B6F">
        <w:rPr>
          <w:sz w:val="24"/>
          <w:szCs w:val="24"/>
        </w:rPr>
        <w:t xml:space="preserve"> er für die Selbstbezichtigung zahlen. War er von der Tiefe seiner Schmach ergriffen, so </w:t>
      </w:r>
      <w:proofErr w:type="spellStart"/>
      <w:r w:rsidR="000128E3" w:rsidRPr="001F3B6F">
        <w:rPr>
          <w:sz w:val="24"/>
          <w:szCs w:val="24"/>
        </w:rPr>
        <w:t>mußte</w:t>
      </w:r>
      <w:proofErr w:type="spellEnd"/>
      <w:r w:rsidR="000128E3" w:rsidRPr="001F3B6F">
        <w:rPr>
          <w:sz w:val="24"/>
          <w:szCs w:val="24"/>
        </w:rPr>
        <w:t xml:space="preserve"> er für die Ergriffenheit zahlen. Empfand er den Wunsch nach neuer Frömmigkeit, dann </w:t>
      </w:r>
      <w:proofErr w:type="spellStart"/>
      <w:r w:rsidR="000128E3" w:rsidRPr="001F3B6F">
        <w:rPr>
          <w:sz w:val="24"/>
          <w:szCs w:val="24"/>
        </w:rPr>
        <w:t>mußte</w:t>
      </w:r>
      <w:proofErr w:type="spellEnd"/>
      <w:r w:rsidR="000128E3" w:rsidRPr="001F3B6F">
        <w:rPr>
          <w:sz w:val="24"/>
          <w:szCs w:val="24"/>
        </w:rPr>
        <w:t xml:space="preserve"> er für diesen Wunsch zahlen. Wollte er Reue zeigen, so </w:t>
      </w:r>
      <w:proofErr w:type="spellStart"/>
      <w:r w:rsidR="000128E3" w:rsidRPr="001F3B6F">
        <w:rPr>
          <w:sz w:val="24"/>
          <w:szCs w:val="24"/>
        </w:rPr>
        <w:t>mußte</w:t>
      </w:r>
      <w:proofErr w:type="spellEnd"/>
      <w:r w:rsidR="000128E3" w:rsidRPr="001F3B6F">
        <w:rPr>
          <w:sz w:val="24"/>
          <w:szCs w:val="24"/>
        </w:rPr>
        <w:t xml:space="preserve"> er für die Reue zahlen.</w:t>
      </w:r>
    </w:p>
    <w:p w:rsidR="000128E3" w:rsidRPr="001F3B6F" w:rsidRDefault="000128E3" w:rsidP="002A5EE0">
      <w:pPr>
        <w:spacing w:after="0"/>
        <w:ind w:left="1134"/>
        <w:rPr>
          <w:sz w:val="24"/>
          <w:szCs w:val="24"/>
        </w:rPr>
      </w:pPr>
      <w:r w:rsidRPr="001F3B6F">
        <w:rPr>
          <w:sz w:val="24"/>
          <w:szCs w:val="24"/>
        </w:rPr>
        <w:t>Hatte ein Verschmitzter sein Vermögen einem Katholiken überschrieben, dann war das Tribunal noch verschmitzter. Es dekretierte: Vermögensübertagungen hätten nur Gültigkeit, wenn sie vor dem Jahre 1478 vorgenommen worden seien; bevor man von der Inquisition hatte wissen können.“</w:t>
      </w:r>
      <w:r w:rsidR="002A5EE0">
        <w:rPr>
          <w:rStyle w:val="Funotenzeichen"/>
          <w:sz w:val="24"/>
          <w:szCs w:val="24"/>
        </w:rPr>
        <w:footnoteReference w:id="50"/>
      </w:r>
    </w:p>
    <w:p w:rsidR="000128E3" w:rsidRPr="001F3B6F" w:rsidRDefault="002A5EE0" w:rsidP="002A5EE0">
      <w:pPr>
        <w:spacing w:after="0"/>
        <w:rPr>
          <w:sz w:val="24"/>
          <w:szCs w:val="24"/>
        </w:rPr>
      </w:pPr>
      <w:r>
        <w:rPr>
          <w:sz w:val="24"/>
          <w:szCs w:val="24"/>
        </w:rPr>
        <w:t xml:space="preserve">Am Ende des Prozesses steht das Ausweisungsdekret von 1492, das sog. Alhambra-Edikt. </w:t>
      </w:r>
      <w:proofErr w:type="spellStart"/>
      <w:r>
        <w:rPr>
          <w:sz w:val="24"/>
          <w:szCs w:val="24"/>
        </w:rPr>
        <w:t>Marcu</w:t>
      </w:r>
      <w:proofErr w:type="spellEnd"/>
      <w:r>
        <w:rPr>
          <w:sz w:val="24"/>
          <w:szCs w:val="24"/>
        </w:rPr>
        <w:t xml:space="preserve"> charakterisiert es mit aller Drastik:</w:t>
      </w:r>
    </w:p>
    <w:p w:rsidR="00D13F3D" w:rsidRPr="001F3B6F" w:rsidRDefault="00D13F3D" w:rsidP="002A5EE0">
      <w:pPr>
        <w:spacing w:after="0"/>
        <w:ind w:left="1134"/>
        <w:rPr>
          <w:sz w:val="24"/>
          <w:szCs w:val="24"/>
        </w:rPr>
      </w:pPr>
      <w:r w:rsidRPr="001F3B6F">
        <w:rPr>
          <w:sz w:val="24"/>
          <w:szCs w:val="24"/>
        </w:rPr>
        <w:t xml:space="preserve">„Das Ausweisungsdekret war eine radikale Enteignungsmaßnahme. Die Begüterten wurden </w:t>
      </w:r>
      <w:proofErr w:type="spellStart"/>
      <w:r w:rsidRPr="001F3B6F">
        <w:rPr>
          <w:sz w:val="24"/>
          <w:szCs w:val="24"/>
        </w:rPr>
        <w:t>unbegütert</w:t>
      </w:r>
      <w:proofErr w:type="spellEnd"/>
      <w:r w:rsidRPr="001F3B6F">
        <w:rPr>
          <w:sz w:val="24"/>
          <w:szCs w:val="24"/>
        </w:rPr>
        <w:t xml:space="preserve">, ihr Vermögen lag auf der Straße. Jedermann </w:t>
      </w:r>
      <w:proofErr w:type="spellStart"/>
      <w:r w:rsidRPr="001F3B6F">
        <w:rPr>
          <w:sz w:val="24"/>
          <w:szCs w:val="24"/>
        </w:rPr>
        <w:t>wußte</w:t>
      </w:r>
      <w:proofErr w:type="spellEnd"/>
      <w:r w:rsidRPr="001F3B6F">
        <w:rPr>
          <w:sz w:val="24"/>
          <w:szCs w:val="24"/>
        </w:rPr>
        <w:t xml:space="preserve">, </w:t>
      </w:r>
      <w:proofErr w:type="spellStart"/>
      <w:r w:rsidRPr="001F3B6F">
        <w:rPr>
          <w:sz w:val="24"/>
          <w:szCs w:val="24"/>
        </w:rPr>
        <w:t>daß</w:t>
      </w:r>
      <w:proofErr w:type="spellEnd"/>
      <w:r w:rsidRPr="001F3B6F">
        <w:rPr>
          <w:sz w:val="24"/>
          <w:szCs w:val="24"/>
        </w:rPr>
        <w:t xml:space="preserve"> binnen drei Monaten der gesamte jüdische Besitz liquidiert sein </w:t>
      </w:r>
      <w:proofErr w:type="spellStart"/>
      <w:r w:rsidRPr="001F3B6F">
        <w:rPr>
          <w:sz w:val="24"/>
          <w:szCs w:val="24"/>
        </w:rPr>
        <w:t>mußte</w:t>
      </w:r>
      <w:proofErr w:type="spellEnd"/>
      <w:r w:rsidRPr="001F3B6F">
        <w:rPr>
          <w:sz w:val="24"/>
          <w:szCs w:val="24"/>
        </w:rPr>
        <w:t>. Spekulanten warteten bis zu den letzten Wochen, um zu kaufen. Sie freuten sich, viel geschickter zu sein, als die geschicktesten Wucherjuden es je gewesen waren.“</w:t>
      </w:r>
      <w:r w:rsidR="002A5EE0">
        <w:rPr>
          <w:rStyle w:val="Funotenzeichen"/>
          <w:sz w:val="24"/>
          <w:szCs w:val="24"/>
        </w:rPr>
        <w:footnoteReference w:id="51"/>
      </w:r>
      <w:r w:rsidRPr="001F3B6F">
        <w:rPr>
          <w:sz w:val="24"/>
          <w:szCs w:val="24"/>
        </w:rPr>
        <w:t xml:space="preserve"> </w:t>
      </w:r>
    </w:p>
    <w:p w:rsidR="00911A6C" w:rsidRDefault="00082A8A" w:rsidP="00911A6C">
      <w:pPr>
        <w:spacing w:after="0"/>
        <w:rPr>
          <w:sz w:val="24"/>
          <w:szCs w:val="24"/>
        </w:rPr>
      </w:pPr>
      <w:r>
        <w:rPr>
          <w:sz w:val="24"/>
          <w:szCs w:val="24"/>
        </w:rPr>
        <w:t xml:space="preserve">Klar, in nicht </w:t>
      </w:r>
      <w:proofErr w:type="spellStart"/>
      <w:r>
        <w:rPr>
          <w:sz w:val="24"/>
          <w:szCs w:val="24"/>
        </w:rPr>
        <w:t>misszuverstehender</w:t>
      </w:r>
      <w:proofErr w:type="spellEnd"/>
      <w:r>
        <w:rPr>
          <w:sz w:val="24"/>
          <w:szCs w:val="24"/>
        </w:rPr>
        <w:t xml:space="preserve"> Direktheit</w:t>
      </w:r>
      <w:r w:rsidR="00A352A1">
        <w:rPr>
          <w:sz w:val="24"/>
          <w:szCs w:val="24"/>
        </w:rPr>
        <w:t>,</w:t>
      </w:r>
      <w:r>
        <w:rPr>
          <w:sz w:val="24"/>
          <w:szCs w:val="24"/>
        </w:rPr>
        <w:t xml:space="preserve"> beschreibt </w:t>
      </w:r>
      <w:proofErr w:type="spellStart"/>
      <w:r>
        <w:rPr>
          <w:sz w:val="24"/>
          <w:szCs w:val="24"/>
        </w:rPr>
        <w:t>Marcu</w:t>
      </w:r>
      <w:proofErr w:type="spellEnd"/>
      <w:r>
        <w:rPr>
          <w:sz w:val="24"/>
          <w:szCs w:val="24"/>
        </w:rPr>
        <w:t xml:space="preserve"> die Folgen der Vertreibung:</w:t>
      </w:r>
    </w:p>
    <w:p w:rsidR="00D13F3D" w:rsidRPr="001F3B6F" w:rsidRDefault="00D13F3D" w:rsidP="00082A8A">
      <w:pPr>
        <w:spacing w:after="0"/>
        <w:ind w:left="1134"/>
        <w:rPr>
          <w:sz w:val="24"/>
          <w:szCs w:val="24"/>
        </w:rPr>
      </w:pPr>
      <w:r w:rsidRPr="001F3B6F">
        <w:rPr>
          <w:sz w:val="24"/>
          <w:szCs w:val="24"/>
        </w:rPr>
        <w:t>„‚Die Juden bildeten den spanischen Mittelstand. Und binnen drei Monaten wurde er radikal vernichtet. […]</w:t>
      </w:r>
    </w:p>
    <w:p w:rsidR="00D13F3D" w:rsidRPr="001F3B6F" w:rsidRDefault="00D13F3D" w:rsidP="00082A8A">
      <w:pPr>
        <w:spacing w:after="0"/>
        <w:ind w:left="1134"/>
        <w:rPr>
          <w:sz w:val="24"/>
          <w:szCs w:val="24"/>
        </w:rPr>
      </w:pPr>
      <w:r w:rsidRPr="001F3B6F">
        <w:rPr>
          <w:sz w:val="24"/>
          <w:szCs w:val="24"/>
        </w:rPr>
        <w:t xml:space="preserve">Da keine Stimme der Freundschaft oder nur des Mitleids aus der Welt der Freiheit in ihre seelische Abgeschiedenheit drang, ergriff sie ein Geist bedingungsloser Ghettogemeinschaft. Das ganz </w:t>
      </w:r>
      <w:proofErr w:type="spellStart"/>
      <w:r w:rsidRPr="001F3B6F">
        <w:rPr>
          <w:sz w:val="24"/>
          <w:szCs w:val="24"/>
        </w:rPr>
        <w:t>hiberische</w:t>
      </w:r>
      <w:proofErr w:type="spellEnd"/>
      <w:r w:rsidRPr="001F3B6F">
        <w:rPr>
          <w:sz w:val="24"/>
          <w:szCs w:val="24"/>
        </w:rPr>
        <w:t xml:space="preserve"> Judentum wurde zu einer einzigen Sippe. Die herdlosen Familien rückten näher aneinander, verheirateten ihre Kinder miteinander, damit die dreizehnjährigen Mädchen geschützt in den </w:t>
      </w:r>
      <w:proofErr w:type="spellStart"/>
      <w:r w:rsidRPr="001F3B6F">
        <w:rPr>
          <w:sz w:val="24"/>
          <w:szCs w:val="24"/>
        </w:rPr>
        <w:t>Exod</w:t>
      </w:r>
      <w:proofErr w:type="spellEnd"/>
      <w:r w:rsidRPr="001F3B6F">
        <w:rPr>
          <w:sz w:val="24"/>
          <w:szCs w:val="24"/>
        </w:rPr>
        <w:t xml:space="preserve"> </w:t>
      </w:r>
      <w:proofErr w:type="gramStart"/>
      <w:r w:rsidRPr="001F3B6F">
        <w:rPr>
          <w:sz w:val="24"/>
          <w:szCs w:val="24"/>
        </w:rPr>
        <w:t>ging</w:t>
      </w:r>
      <w:proofErr w:type="gramEnd"/>
      <w:r w:rsidRPr="001F3B6F">
        <w:rPr>
          <w:sz w:val="24"/>
          <w:szCs w:val="24"/>
        </w:rPr>
        <w:t>. Nur wenige versuchten, sich aus diesen Niederungen des Elends als Einzelne zu retten.</w:t>
      </w:r>
    </w:p>
    <w:p w:rsidR="00D13F3D" w:rsidRPr="001F3B6F" w:rsidRDefault="00D13F3D" w:rsidP="00082A8A">
      <w:pPr>
        <w:spacing w:after="0"/>
        <w:ind w:left="1134"/>
        <w:rPr>
          <w:sz w:val="24"/>
          <w:szCs w:val="24"/>
        </w:rPr>
      </w:pPr>
      <w:r w:rsidRPr="001F3B6F">
        <w:rPr>
          <w:sz w:val="24"/>
          <w:szCs w:val="24"/>
        </w:rPr>
        <w:t xml:space="preserve">Die Reicheren verteilten ihre Mittel. Da sie nur ein Minimum mitnehmen konnten, sollten wenigstens </w:t>
      </w:r>
      <w:proofErr w:type="spellStart"/>
      <w:r w:rsidRPr="001F3B6F">
        <w:rPr>
          <w:sz w:val="24"/>
          <w:szCs w:val="24"/>
        </w:rPr>
        <w:t>so</w:t>
      </w:r>
      <w:r w:rsidR="00082A8A">
        <w:rPr>
          <w:sz w:val="24"/>
          <w:szCs w:val="24"/>
        </w:rPr>
        <w:t>v</w:t>
      </w:r>
      <w:r w:rsidRPr="001F3B6F">
        <w:rPr>
          <w:sz w:val="24"/>
          <w:szCs w:val="24"/>
        </w:rPr>
        <w:t>iel</w:t>
      </w:r>
      <w:proofErr w:type="spellEnd"/>
      <w:r w:rsidRPr="001F3B6F">
        <w:rPr>
          <w:sz w:val="24"/>
          <w:szCs w:val="24"/>
        </w:rPr>
        <w:t xml:space="preserve"> als möglich daran teilhaben.“</w:t>
      </w:r>
      <w:r w:rsidR="00082A8A">
        <w:rPr>
          <w:rStyle w:val="Funotenzeichen"/>
          <w:sz w:val="24"/>
          <w:szCs w:val="24"/>
        </w:rPr>
        <w:footnoteReference w:id="52"/>
      </w:r>
      <w:r w:rsidRPr="001F3B6F">
        <w:rPr>
          <w:sz w:val="24"/>
          <w:szCs w:val="24"/>
        </w:rPr>
        <w:t xml:space="preserve"> </w:t>
      </w:r>
    </w:p>
    <w:p w:rsidR="00D13F3D" w:rsidRPr="001F3B6F" w:rsidRDefault="00ED799B" w:rsidP="00911A6C">
      <w:pPr>
        <w:spacing w:after="0"/>
        <w:rPr>
          <w:sz w:val="24"/>
          <w:szCs w:val="24"/>
        </w:rPr>
      </w:pPr>
      <w:proofErr w:type="spellStart"/>
      <w:r>
        <w:rPr>
          <w:sz w:val="24"/>
          <w:szCs w:val="24"/>
        </w:rPr>
        <w:t>Marcu</w:t>
      </w:r>
      <w:proofErr w:type="spellEnd"/>
      <w:r>
        <w:rPr>
          <w:sz w:val="24"/>
          <w:szCs w:val="24"/>
        </w:rPr>
        <w:t xml:space="preserve"> beschränkt sich jedoch nicht darauf, dem Leser nur die Tragik des Vorgangs ins Bewusstsein zu heben, sondern er verweist auch auf die Auswirkungen, die die Vertreibung auf das religiöse und politische Selbstverständnis der Gemeinschaft hat. Es erfolgt ein erneuter </w:t>
      </w:r>
      <w:r w:rsidRPr="00ED799B">
        <w:rPr>
          <w:sz w:val="24"/>
          <w:szCs w:val="24"/>
        </w:rPr>
        <w:t>Rückschlag in die Orthodoxie</w:t>
      </w:r>
      <w:r>
        <w:rPr>
          <w:sz w:val="24"/>
          <w:szCs w:val="24"/>
        </w:rPr>
        <w:t>. Die Züchtigung des Volkes Israel wird als eine Strafe Jehovas aufgenommen:</w:t>
      </w:r>
    </w:p>
    <w:p w:rsidR="00D13F3D" w:rsidRPr="001F3B6F" w:rsidRDefault="00D13F3D" w:rsidP="00ED799B">
      <w:pPr>
        <w:spacing w:after="0"/>
        <w:ind w:left="1134"/>
        <w:rPr>
          <w:sz w:val="24"/>
          <w:szCs w:val="24"/>
        </w:rPr>
      </w:pPr>
      <w:r w:rsidRPr="001F3B6F">
        <w:rPr>
          <w:sz w:val="24"/>
          <w:szCs w:val="24"/>
        </w:rPr>
        <w:t>„Schlägt man die Juden, flüchten sie immer hinter ihre Orthodoxie.</w:t>
      </w:r>
    </w:p>
    <w:p w:rsidR="00D13F3D" w:rsidRPr="001F3B6F" w:rsidRDefault="00D13F3D" w:rsidP="00ED799B">
      <w:pPr>
        <w:spacing w:after="0"/>
        <w:ind w:left="1134"/>
        <w:rPr>
          <w:sz w:val="24"/>
          <w:szCs w:val="24"/>
        </w:rPr>
      </w:pPr>
      <w:r w:rsidRPr="001F3B6F">
        <w:rPr>
          <w:sz w:val="24"/>
          <w:szCs w:val="24"/>
        </w:rPr>
        <w:t>Die Juden halten sich förmlich durch Massaker am Leben. Jede erlittene Schmach ist für sie eine Katastrophe, nicht weil sie daran untergehen, sondern weil sie nicht untergehen. Sie werden durch Pogrome und Ausweisungen nur immer wieder an das Judentum gefesselt.</w:t>
      </w:r>
      <w:r w:rsidR="00ED799B">
        <w:rPr>
          <w:sz w:val="24"/>
          <w:szCs w:val="24"/>
        </w:rPr>
        <w:t>“</w:t>
      </w:r>
      <w:r w:rsidR="00ED799B">
        <w:rPr>
          <w:rStyle w:val="Funotenzeichen"/>
          <w:sz w:val="24"/>
          <w:szCs w:val="24"/>
        </w:rPr>
        <w:footnoteReference w:id="53"/>
      </w:r>
      <w:r w:rsidRPr="001F3B6F">
        <w:rPr>
          <w:sz w:val="24"/>
          <w:szCs w:val="24"/>
        </w:rPr>
        <w:t xml:space="preserve"> </w:t>
      </w:r>
    </w:p>
    <w:p w:rsidR="00D13F3D" w:rsidRDefault="00D13F3D" w:rsidP="00ED799B">
      <w:pPr>
        <w:spacing w:after="0"/>
        <w:ind w:left="1134"/>
        <w:rPr>
          <w:sz w:val="24"/>
          <w:szCs w:val="24"/>
        </w:rPr>
      </w:pPr>
      <w:r w:rsidRPr="001F3B6F">
        <w:rPr>
          <w:sz w:val="24"/>
          <w:szCs w:val="24"/>
        </w:rPr>
        <w:lastRenderedPageBreak/>
        <w:t xml:space="preserve">„Die </w:t>
      </w:r>
      <w:proofErr w:type="spellStart"/>
      <w:r w:rsidRPr="001F3B6F">
        <w:rPr>
          <w:sz w:val="24"/>
          <w:szCs w:val="24"/>
        </w:rPr>
        <w:t>Rabbanen</w:t>
      </w:r>
      <w:proofErr w:type="spellEnd"/>
      <w:r w:rsidRPr="001F3B6F">
        <w:rPr>
          <w:sz w:val="24"/>
          <w:szCs w:val="24"/>
        </w:rPr>
        <w:t xml:space="preserve"> und ihre Gemeinden glaubten, gerade an ihrem Leid sei die Stärke ihres Gottes zu ermessen: Sie werden bedroht, weil sie die Lieblinge des Himmels sind. Was ist Torquemada? Was ist die Inquisition? Was war Ägypten und Babylon? Doch nur Ruten, blinde Werkzeuge in den Händen Jehovas zur Züchtigung seines geliebten Zion.“</w:t>
      </w:r>
      <w:r w:rsidR="00ED799B">
        <w:rPr>
          <w:rStyle w:val="Funotenzeichen"/>
          <w:sz w:val="24"/>
          <w:szCs w:val="24"/>
        </w:rPr>
        <w:footnoteReference w:id="54"/>
      </w:r>
      <w:r w:rsidRPr="001F3B6F">
        <w:rPr>
          <w:sz w:val="24"/>
          <w:szCs w:val="24"/>
        </w:rPr>
        <w:t xml:space="preserve"> </w:t>
      </w:r>
    </w:p>
    <w:p w:rsidR="00ED799B" w:rsidRPr="001F3B6F" w:rsidRDefault="00ED799B" w:rsidP="00ED799B">
      <w:pPr>
        <w:spacing w:after="0"/>
        <w:rPr>
          <w:sz w:val="24"/>
          <w:szCs w:val="24"/>
        </w:rPr>
      </w:pPr>
      <w:r>
        <w:rPr>
          <w:sz w:val="24"/>
          <w:szCs w:val="24"/>
        </w:rPr>
        <w:t>Als ob es nicht genügt hätte, die Vertreibung als eine „Strafe Gottes“ zu interpretieren, wird die Strafe darüber hinaus als Grundlage eines erneuerten Bündnisses des Jehovas mit dem Volke Israel interpretiert:</w:t>
      </w:r>
    </w:p>
    <w:p w:rsidR="00D13F3D" w:rsidRPr="001F3B6F" w:rsidRDefault="00D13F3D" w:rsidP="00EC31D6">
      <w:pPr>
        <w:spacing w:after="0"/>
        <w:ind w:left="1134"/>
        <w:rPr>
          <w:sz w:val="24"/>
          <w:szCs w:val="24"/>
        </w:rPr>
      </w:pPr>
      <w:r w:rsidRPr="001F3B6F">
        <w:rPr>
          <w:sz w:val="24"/>
          <w:szCs w:val="24"/>
        </w:rPr>
        <w:t>„Sie verklären ihre Parialage, ihre Rechtlosigkeit, ihre Waffenlosigkeit. Jetzt hat Gott, wie in einer ähnlichen Lage in Ägypten, ein neues Bündnis mit ihnen geschlossen, sie von neuem unter weisen Gesichtspunkten seines universalen Weltregiments leiden lassen.“</w:t>
      </w:r>
      <w:r w:rsidR="004C32A3">
        <w:rPr>
          <w:rStyle w:val="Funotenzeichen"/>
          <w:sz w:val="24"/>
          <w:szCs w:val="24"/>
        </w:rPr>
        <w:footnoteReference w:id="55"/>
      </w:r>
    </w:p>
    <w:p w:rsidR="00D13F3D" w:rsidRDefault="00EC31D6" w:rsidP="00911A6C">
      <w:pPr>
        <w:spacing w:after="0"/>
        <w:rPr>
          <w:sz w:val="24"/>
          <w:szCs w:val="24"/>
        </w:rPr>
      </w:pPr>
      <w:r>
        <w:rPr>
          <w:sz w:val="24"/>
          <w:szCs w:val="24"/>
        </w:rPr>
        <w:t>Die Realität wird verdrängt</w:t>
      </w:r>
      <w:r w:rsidR="00A352A1">
        <w:rPr>
          <w:sz w:val="24"/>
          <w:szCs w:val="24"/>
        </w:rPr>
        <w:t>,</w:t>
      </w:r>
      <w:r>
        <w:rPr>
          <w:sz w:val="24"/>
          <w:szCs w:val="24"/>
        </w:rPr>
        <w:t xml:space="preserve"> </w:t>
      </w:r>
      <w:r w:rsidR="00A352A1">
        <w:rPr>
          <w:sz w:val="24"/>
          <w:szCs w:val="24"/>
        </w:rPr>
        <w:t>das Dasein als Parias</w:t>
      </w:r>
      <w:r>
        <w:rPr>
          <w:sz w:val="24"/>
          <w:szCs w:val="24"/>
        </w:rPr>
        <w:t xml:space="preserve"> zu einem Geschenk Gottes sublimiert. Das Faktum der Vertreibung wird, wies </w:t>
      </w:r>
      <w:proofErr w:type="spellStart"/>
      <w:r>
        <w:rPr>
          <w:sz w:val="24"/>
          <w:szCs w:val="24"/>
        </w:rPr>
        <w:t>Marcu</w:t>
      </w:r>
      <w:proofErr w:type="spellEnd"/>
      <w:r>
        <w:rPr>
          <w:sz w:val="24"/>
          <w:szCs w:val="24"/>
        </w:rPr>
        <w:t xml:space="preserve"> bitter formuliert, zu einer „unzerreißbaren Urkunde“, auf der steht: „Auserwähltes Volk“.</w:t>
      </w:r>
      <w:r>
        <w:rPr>
          <w:rStyle w:val="Funotenzeichen"/>
          <w:sz w:val="24"/>
          <w:szCs w:val="24"/>
        </w:rPr>
        <w:footnoteReference w:id="56"/>
      </w:r>
    </w:p>
    <w:p w:rsidR="00EC31D6" w:rsidRDefault="00EC31D6" w:rsidP="00911A6C">
      <w:pPr>
        <w:spacing w:after="0"/>
        <w:rPr>
          <w:sz w:val="24"/>
          <w:szCs w:val="24"/>
        </w:rPr>
      </w:pPr>
    </w:p>
    <w:p w:rsidR="00EC31D6" w:rsidRPr="001F3B6F" w:rsidRDefault="00EC31D6" w:rsidP="00911A6C">
      <w:pPr>
        <w:spacing w:after="0"/>
        <w:rPr>
          <w:sz w:val="24"/>
          <w:szCs w:val="24"/>
        </w:rPr>
      </w:pPr>
      <w:r>
        <w:rPr>
          <w:sz w:val="24"/>
          <w:szCs w:val="24"/>
        </w:rPr>
        <w:tab/>
      </w:r>
      <w:proofErr w:type="spellStart"/>
      <w:r>
        <w:rPr>
          <w:sz w:val="24"/>
          <w:szCs w:val="24"/>
        </w:rPr>
        <w:t>Marcu</w:t>
      </w:r>
      <w:proofErr w:type="spellEnd"/>
      <w:r>
        <w:rPr>
          <w:sz w:val="24"/>
          <w:szCs w:val="24"/>
        </w:rPr>
        <w:t xml:space="preserve"> schließt d</w:t>
      </w:r>
      <w:r w:rsidR="004E5CBD">
        <w:rPr>
          <w:sz w:val="24"/>
          <w:szCs w:val="24"/>
        </w:rPr>
        <w:t>a</w:t>
      </w:r>
      <w:r>
        <w:rPr>
          <w:sz w:val="24"/>
          <w:szCs w:val="24"/>
        </w:rPr>
        <w:t xml:space="preserve">s Kapitel </w:t>
      </w:r>
      <w:r w:rsidR="0030160C">
        <w:rPr>
          <w:sz w:val="24"/>
          <w:szCs w:val="24"/>
        </w:rPr>
        <w:t>mit Bemerkungen über „Die ewige Diaspora“</w:t>
      </w:r>
      <w:r w:rsidR="004E5CBD">
        <w:rPr>
          <w:sz w:val="24"/>
          <w:szCs w:val="24"/>
        </w:rPr>
        <w:t>.</w:t>
      </w:r>
      <w:r w:rsidR="004E5CBD">
        <w:rPr>
          <w:rStyle w:val="Funotenzeichen"/>
          <w:sz w:val="24"/>
          <w:szCs w:val="24"/>
        </w:rPr>
        <w:footnoteReference w:id="57"/>
      </w:r>
      <w:r w:rsidR="004E5CBD">
        <w:rPr>
          <w:sz w:val="24"/>
          <w:szCs w:val="24"/>
        </w:rPr>
        <w:t xml:space="preserve"> D</w:t>
      </w:r>
      <w:r w:rsidR="0030160C">
        <w:rPr>
          <w:sz w:val="24"/>
          <w:szCs w:val="24"/>
        </w:rPr>
        <w:t xml:space="preserve">ie </w:t>
      </w:r>
      <w:r w:rsidR="004E5CBD">
        <w:rPr>
          <w:sz w:val="24"/>
          <w:szCs w:val="24"/>
        </w:rPr>
        <w:t xml:space="preserve">jüdische Geschichte </w:t>
      </w:r>
      <w:r w:rsidR="0030160C">
        <w:rPr>
          <w:sz w:val="24"/>
          <w:szCs w:val="24"/>
        </w:rPr>
        <w:t>ist eine Abfolge von Vertreibungen</w:t>
      </w:r>
      <w:r w:rsidR="004E5CBD">
        <w:rPr>
          <w:sz w:val="24"/>
          <w:szCs w:val="24"/>
        </w:rPr>
        <w:t>;</w:t>
      </w:r>
      <w:r w:rsidR="0030160C">
        <w:rPr>
          <w:sz w:val="24"/>
          <w:szCs w:val="24"/>
        </w:rPr>
        <w:t xml:space="preserve"> </w:t>
      </w:r>
      <w:r w:rsidR="004E5CBD">
        <w:rPr>
          <w:sz w:val="24"/>
          <w:szCs w:val="24"/>
        </w:rPr>
        <w:t>das Ergebnis ist die</w:t>
      </w:r>
      <w:r w:rsidR="0030160C">
        <w:rPr>
          <w:sz w:val="24"/>
          <w:szCs w:val="24"/>
        </w:rPr>
        <w:t xml:space="preserve"> </w:t>
      </w:r>
      <w:r w:rsidR="0030160C" w:rsidRPr="0030160C">
        <w:rPr>
          <w:sz w:val="24"/>
          <w:szCs w:val="24"/>
        </w:rPr>
        <w:t>Zerstreuung</w:t>
      </w:r>
      <w:r w:rsidR="0030160C">
        <w:rPr>
          <w:sz w:val="24"/>
          <w:szCs w:val="24"/>
        </w:rPr>
        <w:t xml:space="preserve"> </w:t>
      </w:r>
      <w:r w:rsidR="004E5CBD">
        <w:rPr>
          <w:sz w:val="24"/>
          <w:szCs w:val="24"/>
        </w:rPr>
        <w:t xml:space="preserve">des jüdischen Volkes </w:t>
      </w:r>
      <w:r w:rsidR="0030160C">
        <w:rPr>
          <w:sz w:val="24"/>
          <w:szCs w:val="24"/>
        </w:rPr>
        <w:t xml:space="preserve">über die gesamte Welt. </w:t>
      </w:r>
      <w:r w:rsidR="004E5CBD">
        <w:rPr>
          <w:sz w:val="24"/>
          <w:szCs w:val="24"/>
        </w:rPr>
        <w:t>Trotz der Massaker bleibt i</w:t>
      </w:r>
      <w:r w:rsidR="0030160C">
        <w:rPr>
          <w:sz w:val="24"/>
          <w:szCs w:val="24"/>
        </w:rPr>
        <w:t>mmer bleibt ein „Rest“. Die Geschichte des jüdischen Volkes wird damit zu einer „</w:t>
      </w:r>
      <w:r w:rsidR="0030160C" w:rsidRPr="001F3B6F">
        <w:rPr>
          <w:sz w:val="24"/>
          <w:szCs w:val="24"/>
        </w:rPr>
        <w:t>Historie der ‚Reste‘</w:t>
      </w:r>
      <w:r w:rsidR="0030160C">
        <w:rPr>
          <w:sz w:val="24"/>
          <w:szCs w:val="24"/>
        </w:rPr>
        <w:t>“:</w:t>
      </w:r>
    </w:p>
    <w:p w:rsidR="00D13F3D" w:rsidRPr="001F3B6F" w:rsidRDefault="00D13F3D" w:rsidP="0030160C">
      <w:pPr>
        <w:spacing w:after="0"/>
        <w:ind w:left="1134"/>
        <w:rPr>
          <w:sz w:val="24"/>
          <w:szCs w:val="24"/>
        </w:rPr>
      </w:pPr>
      <w:r w:rsidRPr="001F3B6F">
        <w:rPr>
          <w:sz w:val="24"/>
          <w:szCs w:val="24"/>
        </w:rPr>
        <w:t xml:space="preserve">„Immer bleibt von ihnen ein ‚Rest‘, der sich in keiner Umgebung ganz auflöst. Der Teil der Juden, die vor acht Jahrhunderten in Spanien eine Heimat fanden, war auch ein ‚Rest‘: aus Babylon, aus Arabien, aus Indien, aus dem griechischen </w:t>
      </w:r>
      <w:proofErr w:type="spellStart"/>
      <w:r w:rsidRPr="001F3B6F">
        <w:rPr>
          <w:sz w:val="24"/>
          <w:szCs w:val="24"/>
        </w:rPr>
        <w:t>Archipelagos</w:t>
      </w:r>
      <w:proofErr w:type="spellEnd"/>
      <w:r w:rsidRPr="001F3B6F">
        <w:rPr>
          <w:sz w:val="24"/>
          <w:szCs w:val="24"/>
        </w:rPr>
        <w:t>.</w:t>
      </w:r>
    </w:p>
    <w:p w:rsidR="00D13F3D" w:rsidRPr="001F3B6F" w:rsidRDefault="00D13F3D" w:rsidP="0030160C">
      <w:pPr>
        <w:spacing w:after="0"/>
        <w:ind w:left="1134"/>
        <w:rPr>
          <w:sz w:val="24"/>
          <w:szCs w:val="24"/>
        </w:rPr>
      </w:pPr>
      <w:r w:rsidRPr="001F3B6F">
        <w:rPr>
          <w:sz w:val="24"/>
          <w:szCs w:val="24"/>
        </w:rPr>
        <w:t xml:space="preserve">Die Geschichte der Juden ist eine Historie der ‚Reste‘ gewesen, des ‚frommen Kerns‘, wie die Propheten sagten, der sich stets spaltet, dessen einer Teil im großen, ständigen </w:t>
      </w:r>
      <w:proofErr w:type="spellStart"/>
      <w:r w:rsidRPr="001F3B6F">
        <w:rPr>
          <w:sz w:val="24"/>
          <w:szCs w:val="24"/>
        </w:rPr>
        <w:t>Prozeß</w:t>
      </w:r>
      <w:proofErr w:type="spellEnd"/>
      <w:r w:rsidRPr="001F3B6F">
        <w:rPr>
          <w:sz w:val="24"/>
          <w:szCs w:val="24"/>
        </w:rPr>
        <w:t xml:space="preserve"> der Völkerbildung und -umbildung untergeht, dessen andrer weiter </w:t>
      </w:r>
      <w:proofErr w:type="spellStart"/>
      <w:r w:rsidRPr="001F3B6F">
        <w:rPr>
          <w:sz w:val="24"/>
          <w:szCs w:val="24"/>
        </w:rPr>
        <w:t>Ärgerniß</w:t>
      </w:r>
      <w:proofErr w:type="spellEnd"/>
      <w:r w:rsidRPr="001F3B6F">
        <w:rPr>
          <w:sz w:val="24"/>
          <w:szCs w:val="24"/>
        </w:rPr>
        <w:t xml:space="preserve"> erregt.“</w:t>
      </w:r>
      <w:r w:rsidR="0030160C">
        <w:rPr>
          <w:rStyle w:val="Funotenzeichen"/>
          <w:sz w:val="24"/>
          <w:szCs w:val="24"/>
        </w:rPr>
        <w:footnoteReference w:id="58"/>
      </w:r>
      <w:r w:rsidRPr="001F3B6F">
        <w:rPr>
          <w:sz w:val="24"/>
          <w:szCs w:val="24"/>
        </w:rPr>
        <w:t xml:space="preserve"> </w:t>
      </w:r>
    </w:p>
    <w:p w:rsidR="00055ED9" w:rsidRDefault="0030160C" w:rsidP="00911A6C">
      <w:pPr>
        <w:spacing w:after="0"/>
        <w:rPr>
          <w:sz w:val="24"/>
          <w:szCs w:val="24"/>
        </w:rPr>
      </w:pPr>
      <w:r>
        <w:rPr>
          <w:sz w:val="24"/>
          <w:szCs w:val="24"/>
        </w:rPr>
        <w:t>Den Abschluss bildet ein fast prophetisches Wort:</w:t>
      </w:r>
    </w:p>
    <w:p w:rsidR="0030160C" w:rsidRDefault="0030160C" w:rsidP="0030160C">
      <w:pPr>
        <w:spacing w:after="0"/>
        <w:ind w:left="1134"/>
        <w:rPr>
          <w:sz w:val="24"/>
          <w:szCs w:val="24"/>
        </w:rPr>
      </w:pPr>
      <w:r>
        <w:rPr>
          <w:sz w:val="24"/>
          <w:szCs w:val="24"/>
        </w:rPr>
        <w:t>„Die Juden besaßen alle Eigenschaften von Menschen, die ständig bedroht sind, dulden und sich anzuschmiegen suchen. Aus ihrer Bu</w:t>
      </w:r>
      <w:r w:rsidR="00C80496">
        <w:rPr>
          <w:sz w:val="24"/>
          <w:szCs w:val="24"/>
        </w:rPr>
        <w:t>n</w:t>
      </w:r>
      <w:r>
        <w:rPr>
          <w:sz w:val="24"/>
          <w:szCs w:val="24"/>
        </w:rPr>
        <w:t>deslade wächst ihnen kein Schwert.</w:t>
      </w:r>
    </w:p>
    <w:p w:rsidR="0030160C" w:rsidRPr="001F3B6F" w:rsidRDefault="0030160C" w:rsidP="0030160C">
      <w:pPr>
        <w:spacing w:after="0"/>
        <w:ind w:left="1134"/>
        <w:rPr>
          <w:sz w:val="24"/>
          <w:szCs w:val="24"/>
        </w:rPr>
      </w:pPr>
      <w:r w:rsidRPr="00C80496">
        <w:rPr>
          <w:i/>
          <w:sz w:val="24"/>
          <w:szCs w:val="24"/>
        </w:rPr>
        <w:t>Die Tugenden des Kampfes sind stärker und jagen alle anderen Tugenden in die Flucht</w:t>
      </w:r>
      <w:r>
        <w:rPr>
          <w:sz w:val="24"/>
          <w:szCs w:val="24"/>
        </w:rPr>
        <w:t>.“</w:t>
      </w:r>
      <w:r>
        <w:rPr>
          <w:rStyle w:val="Funotenzeichen"/>
          <w:sz w:val="24"/>
          <w:szCs w:val="24"/>
        </w:rPr>
        <w:footnoteReference w:id="59"/>
      </w:r>
    </w:p>
    <w:p w:rsidR="00055ED9" w:rsidRDefault="00373D5D" w:rsidP="00911A6C">
      <w:pPr>
        <w:spacing w:after="0"/>
        <w:rPr>
          <w:sz w:val="24"/>
          <w:szCs w:val="24"/>
        </w:rPr>
      </w:pPr>
      <w:r>
        <w:rPr>
          <w:sz w:val="24"/>
          <w:szCs w:val="24"/>
        </w:rPr>
        <w:t>Diese Formulierung ist kaum anders zu verstehen, als dass einer Gewaltmaßnahme wie der Vertreibung nur mit ebensolcher Gewalt begegnet werden kann.</w:t>
      </w:r>
      <w:r w:rsidR="004E5CBD">
        <w:rPr>
          <w:sz w:val="24"/>
          <w:szCs w:val="24"/>
        </w:rPr>
        <w:t xml:space="preserve"> Das ist ein Aufruf Marcus an das Gewissen der Welt.</w:t>
      </w:r>
    </w:p>
    <w:p w:rsidR="00C80496" w:rsidRDefault="00C80496" w:rsidP="00911A6C">
      <w:pPr>
        <w:spacing w:after="0"/>
        <w:rPr>
          <w:sz w:val="24"/>
          <w:szCs w:val="24"/>
        </w:rPr>
      </w:pPr>
    </w:p>
    <w:p w:rsidR="00373D5D" w:rsidRDefault="00373D5D" w:rsidP="00FE3026">
      <w:pPr>
        <w:pStyle w:val="Funotentext"/>
        <w:spacing w:line="276" w:lineRule="auto"/>
        <w:rPr>
          <w:sz w:val="24"/>
          <w:szCs w:val="24"/>
        </w:rPr>
      </w:pPr>
      <w:r>
        <w:rPr>
          <w:sz w:val="24"/>
          <w:szCs w:val="24"/>
        </w:rPr>
        <w:tab/>
      </w:r>
      <w:r w:rsidR="00FE3026" w:rsidRPr="00FE3026">
        <w:rPr>
          <w:sz w:val="24"/>
          <w:szCs w:val="24"/>
        </w:rPr>
        <w:t xml:space="preserve">Wie sehr die Vertreibung der spanischen Juden Kernfragen der jüdischen Geschichte </w:t>
      </w:r>
      <w:r w:rsidR="00FE3026" w:rsidRPr="00373D5D">
        <w:rPr>
          <w:sz w:val="24"/>
          <w:szCs w:val="24"/>
        </w:rPr>
        <w:t>und des Verständnisses dieser Geschichte</w:t>
      </w:r>
      <w:r w:rsidR="00FE3026" w:rsidRPr="00FE3026">
        <w:rPr>
          <w:i/>
          <w:sz w:val="24"/>
          <w:szCs w:val="24"/>
        </w:rPr>
        <w:t xml:space="preserve"> </w:t>
      </w:r>
      <w:r w:rsidR="00FE3026" w:rsidRPr="00FE3026">
        <w:rPr>
          <w:sz w:val="24"/>
          <w:szCs w:val="24"/>
        </w:rPr>
        <w:t xml:space="preserve">berührt, wird interessanterweise an dem </w:t>
      </w:r>
      <w:r w:rsidR="00FE3026" w:rsidRPr="00FE3026">
        <w:rPr>
          <w:sz w:val="24"/>
          <w:szCs w:val="24"/>
        </w:rPr>
        <w:lastRenderedPageBreak/>
        <w:t>Briefwechsel zwischen Gershom Scholem und Hanna Arendt deutlich. Scholem nimmt hier, bei der Erörterung des Holocaust sowie des Eichmann-Prozesses, direkt Bezug auf das Jahr 1391, also auf die Pogrome von Sevilla, von denen ca. 70 jüdische Gemeinden betroffen waren. Der Grund, dieses Ereignis anzusprechen, ist für Scholem die „Abgründigkeit der jüdischen Geschichte“</w:t>
      </w:r>
      <w:r w:rsidR="00656FD3">
        <w:rPr>
          <w:sz w:val="24"/>
          <w:szCs w:val="24"/>
        </w:rPr>
        <w:t>, für ihn ein empirische</w:t>
      </w:r>
      <w:r w:rsidR="000A0056">
        <w:rPr>
          <w:sz w:val="24"/>
          <w:szCs w:val="24"/>
        </w:rPr>
        <w:t>s</w:t>
      </w:r>
      <w:r w:rsidR="00656FD3">
        <w:rPr>
          <w:sz w:val="24"/>
          <w:szCs w:val="24"/>
        </w:rPr>
        <w:t xml:space="preserve"> Phänomen</w:t>
      </w:r>
      <w:r w:rsidR="00FE3026" w:rsidRPr="00FE3026">
        <w:rPr>
          <w:sz w:val="24"/>
          <w:szCs w:val="24"/>
        </w:rPr>
        <w:t xml:space="preserve">: </w:t>
      </w:r>
    </w:p>
    <w:p w:rsidR="00373D5D" w:rsidRDefault="00FE3026" w:rsidP="00373D5D">
      <w:pPr>
        <w:pStyle w:val="Funotentext"/>
        <w:spacing w:line="276" w:lineRule="auto"/>
        <w:ind w:left="1134"/>
        <w:rPr>
          <w:sz w:val="24"/>
          <w:szCs w:val="24"/>
        </w:rPr>
      </w:pPr>
      <w:r w:rsidRPr="00FE3026">
        <w:rPr>
          <w:sz w:val="24"/>
          <w:szCs w:val="24"/>
        </w:rPr>
        <w:t xml:space="preserve">„Es gibt Aspekte der jüdischen Geschichte […], die der Abgründigkeit keineswegs entbehren: Dämonische </w:t>
      </w:r>
      <w:proofErr w:type="spellStart"/>
      <w:r w:rsidRPr="00FE3026">
        <w:rPr>
          <w:sz w:val="24"/>
          <w:szCs w:val="24"/>
        </w:rPr>
        <w:t>Verfallenheit</w:t>
      </w:r>
      <w:proofErr w:type="spellEnd"/>
      <w:r w:rsidRPr="00FE3026">
        <w:rPr>
          <w:sz w:val="24"/>
          <w:szCs w:val="24"/>
        </w:rPr>
        <w:t xml:space="preserve"> ans Leben, Unsicherheit in der Orientierung in dieser Welt (der die Sicherheit der Frommen gegenübersteht […]), Schwäche, die mit Heroismus unendlich vertrackt verschlungen ist, auch Lumperei und Herrschsucht. Das alles hat es immer gegeben, und in einer Zeit der Katastrophe wäre es sonderbar, wenn es nicht in irgendwelchen Phänomenen zur Geltung gekommen wäre. So war es 1391 und in der damals beginnenden Generation der Katastrophe, </w:t>
      </w:r>
      <w:r w:rsidRPr="00644222">
        <w:rPr>
          <w:i/>
          <w:sz w:val="24"/>
          <w:szCs w:val="24"/>
        </w:rPr>
        <w:t>und so war es in unserer Zeit</w:t>
      </w:r>
      <w:r w:rsidRPr="00FE3026">
        <w:rPr>
          <w:sz w:val="24"/>
          <w:szCs w:val="24"/>
        </w:rPr>
        <w:t>.“</w:t>
      </w:r>
      <w:r w:rsidR="00373D5D">
        <w:rPr>
          <w:rStyle w:val="Funotenzeichen"/>
          <w:sz w:val="24"/>
          <w:szCs w:val="24"/>
        </w:rPr>
        <w:footnoteReference w:id="60"/>
      </w:r>
    </w:p>
    <w:p w:rsidR="005F0DB1" w:rsidRDefault="00644222" w:rsidP="005F0DB1">
      <w:pPr>
        <w:spacing w:after="0"/>
        <w:rPr>
          <w:sz w:val="24"/>
          <w:szCs w:val="24"/>
        </w:rPr>
      </w:pPr>
      <w:r>
        <w:rPr>
          <w:sz w:val="24"/>
          <w:szCs w:val="24"/>
        </w:rPr>
        <w:t xml:space="preserve">Man kann Scholems </w:t>
      </w:r>
      <w:r w:rsidR="00656FD3">
        <w:rPr>
          <w:sz w:val="24"/>
          <w:szCs w:val="24"/>
        </w:rPr>
        <w:t>Worte</w:t>
      </w:r>
      <w:r>
        <w:rPr>
          <w:sz w:val="24"/>
          <w:szCs w:val="24"/>
        </w:rPr>
        <w:t xml:space="preserve"> durchaus als Rechtfertigung für Marcus provokative, </w:t>
      </w:r>
      <w:r w:rsidR="00656FD3">
        <w:rPr>
          <w:sz w:val="24"/>
          <w:szCs w:val="24"/>
        </w:rPr>
        <w:t xml:space="preserve">in Teilen </w:t>
      </w:r>
      <w:r>
        <w:rPr>
          <w:sz w:val="24"/>
          <w:szCs w:val="24"/>
        </w:rPr>
        <w:t>möglicherweise auch überzeichnete</w:t>
      </w:r>
      <w:r w:rsidR="00656FD3">
        <w:rPr>
          <w:sz w:val="24"/>
          <w:szCs w:val="24"/>
        </w:rPr>
        <w:t xml:space="preserve"> </w:t>
      </w:r>
      <w:r>
        <w:rPr>
          <w:sz w:val="24"/>
          <w:szCs w:val="24"/>
        </w:rPr>
        <w:t xml:space="preserve">Darstellung der Fakten, </w:t>
      </w:r>
      <w:r w:rsidR="00656FD3">
        <w:rPr>
          <w:sz w:val="24"/>
          <w:szCs w:val="24"/>
        </w:rPr>
        <w:t xml:space="preserve">Abläufe </w:t>
      </w:r>
      <w:r>
        <w:rPr>
          <w:sz w:val="24"/>
          <w:szCs w:val="24"/>
        </w:rPr>
        <w:t xml:space="preserve">und </w:t>
      </w:r>
      <w:r w:rsidR="00656FD3">
        <w:rPr>
          <w:sz w:val="24"/>
          <w:szCs w:val="24"/>
        </w:rPr>
        <w:t>Akteure</w:t>
      </w:r>
      <w:r>
        <w:rPr>
          <w:sz w:val="24"/>
          <w:szCs w:val="24"/>
        </w:rPr>
        <w:t xml:space="preserve"> verstehen. </w:t>
      </w:r>
      <w:r w:rsidR="00656FD3">
        <w:rPr>
          <w:sz w:val="24"/>
          <w:szCs w:val="24"/>
        </w:rPr>
        <w:t xml:space="preserve">Diskussionswürdig ist das Buch allemal. </w:t>
      </w:r>
      <w:r w:rsidR="009A0138">
        <w:rPr>
          <w:sz w:val="24"/>
          <w:szCs w:val="24"/>
        </w:rPr>
        <w:t xml:space="preserve">Die Vertreibung der Juden aus Spanien </w:t>
      </w:r>
      <w:r w:rsidR="000500C7">
        <w:rPr>
          <w:sz w:val="24"/>
          <w:szCs w:val="24"/>
        </w:rPr>
        <w:t>ist</w:t>
      </w:r>
      <w:r w:rsidR="009A0138">
        <w:rPr>
          <w:sz w:val="24"/>
          <w:szCs w:val="24"/>
        </w:rPr>
        <w:t xml:space="preserve"> </w:t>
      </w:r>
      <w:r w:rsidR="00656FD3">
        <w:rPr>
          <w:sz w:val="24"/>
          <w:szCs w:val="24"/>
        </w:rPr>
        <w:t xml:space="preserve">zweifelsohne </w:t>
      </w:r>
      <w:r w:rsidR="009A0138">
        <w:rPr>
          <w:sz w:val="24"/>
          <w:szCs w:val="24"/>
        </w:rPr>
        <w:t>eine der großen Tragödien der jüdischen Geschichte.</w:t>
      </w:r>
      <w:r w:rsidR="003C0A11">
        <w:rPr>
          <w:sz w:val="24"/>
          <w:szCs w:val="24"/>
        </w:rPr>
        <w:t xml:space="preserve"> </w:t>
      </w:r>
      <w:r w:rsidR="00656FD3">
        <w:rPr>
          <w:sz w:val="24"/>
          <w:szCs w:val="24"/>
        </w:rPr>
        <w:t xml:space="preserve">Statt sich den Fragen zu stellen, die Marcus Buch aufwarf, </w:t>
      </w:r>
      <w:r w:rsidR="005F0DB1">
        <w:rPr>
          <w:sz w:val="24"/>
          <w:szCs w:val="24"/>
        </w:rPr>
        <w:t xml:space="preserve">ging </w:t>
      </w:r>
      <w:r w:rsidR="00656FD3">
        <w:rPr>
          <w:sz w:val="24"/>
          <w:szCs w:val="24"/>
        </w:rPr>
        <w:t>das Exil jedoch</w:t>
      </w:r>
      <w:r w:rsidR="003C0A11">
        <w:rPr>
          <w:sz w:val="24"/>
          <w:szCs w:val="24"/>
        </w:rPr>
        <w:t xml:space="preserve"> mehr</w:t>
      </w:r>
      <w:r w:rsidR="005F0DB1">
        <w:rPr>
          <w:sz w:val="24"/>
          <w:szCs w:val="24"/>
        </w:rPr>
        <w:t xml:space="preserve"> oder weniger schweigend </w:t>
      </w:r>
      <w:r w:rsidR="009A0138">
        <w:rPr>
          <w:sz w:val="24"/>
          <w:szCs w:val="24"/>
        </w:rPr>
        <w:t xml:space="preserve">über </w:t>
      </w:r>
      <w:r w:rsidR="00C939F0">
        <w:rPr>
          <w:sz w:val="24"/>
          <w:szCs w:val="24"/>
        </w:rPr>
        <w:t>d</w:t>
      </w:r>
      <w:r w:rsidR="000500C7">
        <w:rPr>
          <w:sz w:val="24"/>
          <w:szCs w:val="24"/>
        </w:rPr>
        <w:t>as Buch</w:t>
      </w:r>
      <w:r w:rsidR="00C939F0">
        <w:rPr>
          <w:sz w:val="24"/>
          <w:szCs w:val="24"/>
        </w:rPr>
        <w:t xml:space="preserve"> </w:t>
      </w:r>
      <w:r w:rsidR="005F0DB1">
        <w:rPr>
          <w:sz w:val="24"/>
          <w:szCs w:val="24"/>
        </w:rPr>
        <w:t>hinweg.</w:t>
      </w:r>
      <w:r w:rsidR="003C0A11" w:rsidRPr="003C0A11">
        <w:rPr>
          <w:rStyle w:val="Funotenzeichen"/>
          <w:sz w:val="24"/>
          <w:szCs w:val="24"/>
        </w:rPr>
        <w:t xml:space="preserve"> </w:t>
      </w:r>
    </w:p>
    <w:p w:rsidR="00656FD3" w:rsidRDefault="00656FD3" w:rsidP="005F0DB1">
      <w:pPr>
        <w:spacing w:after="0"/>
        <w:rPr>
          <w:sz w:val="24"/>
          <w:szCs w:val="24"/>
        </w:rPr>
      </w:pPr>
    </w:p>
    <w:p w:rsidR="005F0DB1" w:rsidRDefault="00C939F0" w:rsidP="005F0DB1">
      <w:pPr>
        <w:spacing w:after="0"/>
        <w:rPr>
          <w:sz w:val="24"/>
          <w:szCs w:val="24"/>
        </w:rPr>
      </w:pPr>
      <w:r>
        <w:rPr>
          <w:sz w:val="24"/>
          <w:szCs w:val="24"/>
        </w:rPr>
        <w:tab/>
      </w:r>
      <w:proofErr w:type="spellStart"/>
      <w:r w:rsidR="000500C7">
        <w:rPr>
          <w:sz w:val="24"/>
          <w:szCs w:val="24"/>
        </w:rPr>
        <w:t>Marcu</w:t>
      </w:r>
      <w:proofErr w:type="spellEnd"/>
      <w:r w:rsidR="000500C7">
        <w:rPr>
          <w:sz w:val="24"/>
          <w:szCs w:val="24"/>
        </w:rPr>
        <w:t xml:space="preserve"> war innerhalb des Exils ein Außenseiter, zwar gut befreundet mit Hermann Kesten, René </w:t>
      </w:r>
      <w:proofErr w:type="spellStart"/>
      <w:r w:rsidR="000500C7">
        <w:rPr>
          <w:sz w:val="24"/>
          <w:szCs w:val="24"/>
        </w:rPr>
        <w:t>Schickele</w:t>
      </w:r>
      <w:proofErr w:type="spellEnd"/>
      <w:r w:rsidR="000500C7">
        <w:rPr>
          <w:sz w:val="24"/>
          <w:szCs w:val="24"/>
        </w:rPr>
        <w:t xml:space="preserve">, Josef Bornstein und Fritz </w:t>
      </w:r>
      <w:proofErr w:type="spellStart"/>
      <w:r w:rsidR="000500C7">
        <w:rPr>
          <w:sz w:val="24"/>
          <w:szCs w:val="24"/>
        </w:rPr>
        <w:t>Landshoff</w:t>
      </w:r>
      <w:proofErr w:type="spellEnd"/>
      <w:r w:rsidR="000500C7">
        <w:rPr>
          <w:sz w:val="24"/>
          <w:szCs w:val="24"/>
        </w:rPr>
        <w:t>, aber aufgrund seine</w:t>
      </w:r>
      <w:r w:rsidR="00040A3A">
        <w:rPr>
          <w:sz w:val="24"/>
          <w:szCs w:val="24"/>
        </w:rPr>
        <w:t xml:space="preserve">s </w:t>
      </w:r>
      <w:r w:rsidR="00656FD3">
        <w:rPr>
          <w:sz w:val="24"/>
          <w:szCs w:val="24"/>
        </w:rPr>
        <w:t>Werdegangs</w:t>
      </w:r>
      <w:r w:rsidR="000500C7">
        <w:rPr>
          <w:sz w:val="24"/>
          <w:szCs w:val="24"/>
        </w:rPr>
        <w:t xml:space="preserve"> </w:t>
      </w:r>
      <w:r w:rsidR="003539E7">
        <w:rPr>
          <w:sz w:val="24"/>
          <w:szCs w:val="24"/>
        </w:rPr>
        <w:t>sowie</w:t>
      </w:r>
      <w:r w:rsidR="000500C7">
        <w:rPr>
          <w:sz w:val="24"/>
          <w:szCs w:val="24"/>
        </w:rPr>
        <w:t xml:space="preserve"> </w:t>
      </w:r>
      <w:r w:rsidR="00040A3A">
        <w:rPr>
          <w:sz w:val="24"/>
          <w:szCs w:val="24"/>
        </w:rPr>
        <w:t>d</w:t>
      </w:r>
      <w:r w:rsidR="000500C7">
        <w:rPr>
          <w:sz w:val="24"/>
          <w:szCs w:val="24"/>
        </w:rPr>
        <w:t xml:space="preserve">er Bereitschaft, </w:t>
      </w:r>
      <w:r w:rsidR="00656FD3">
        <w:rPr>
          <w:sz w:val="24"/>
          <w:szCs w:val="24"/>
        </w:rPr>
        <w:t>seine</w:t>
      </w:r>
      <w:r w:rsidR="003539E7">
        <w:rPr>
          <w:sz w:val="24"/>
          <w:szCs w:val="24"/>
        </w:rPr>
        <w:t xml:space="preserve"> </w:t>
      </w:r>
      <w:r w:rsidR="00656FD3">
        <w:rPr>
          <w:sz w:val="24"/>
          <w:szCs w:val="24"/>
        </w:rPr>
        <w:t xml:space="preserve">politischen </w:t>
      </w:r>
      <w:r w:rsidR="003539E7">
        <w:rPr>
          <w:sz w:val="24"/>
          <w:szCs w:val="24"/>
        </w:rPr>
        <w:t xml:space="preserve">Auffassungen </w:t>
      </w:r>
      <w:r w:rsidR="00656FD3">
        <w:rPr>
          <w:sz w:val="24"/>
          <w:szCs w:val="24"/>
        </w:rPr>
        <w:t>zu jeder Zeit</w:t>
      </w:r>
      <w:r w:rsidR="000500C7">
        <w:rPr>
          <w:sz w:val="24"/>
          <w:szCs w:val="24"/>
        </w:rPr>
        <w:t xml:space="preserve"> öffentlich zu vertreten, trotzdem isoliert. </w:t>
      </w:r>
      <w:r w:rsidR="00373D5D">
        <w:rPr>
          <w:sz w:val="24"/>
          <w:szCs w:val="24"/>
        </w:rPr>
        <w:t>Da</w:t>
      </w:r>
      <w:r w:rsidR="00CC40D6">
        <w:rPr>
          <w:sz w:val="24"/>
          <w:szCs w:val="24"/>
        </w:rPr>
        <w:t xml:space="preserve">s </w:t>
      </w:r>
      <w:r w:rsidR="000A0D5D">
        <w:rPr>
          <w:sz w:val="24"/>
          <w:szCs w:val="24"/>
        </w:rPr>
        <w:t>typologische Modell</w:t>
      </w:r>
      <w:r w:rsidR="00373D5D">
        <w:rPr>
          <w:sz w:val="24"/>
          <w:szCs w:val="24"/>
        </w:rPr>
        <w:t xml:space="preserve">, das </w:t>
      </w:r>
      <w:r w:rsidR="006F3729">
        <w:rPr>
          <w:sz w:val="24"/>
          <w:szCs w:val="24"/>
        </w:rPr>
        <w:t>er</w:t>
      </w:r>
      <w:r w:rsidR="00373D5D">
        <w:rPr>
          <w:sz w:val="24"/>
          <w:szCs w:val="24"/>
        </w:rPr>
        <w:t xml:space="preserve"> </w:t>
      </w:r>
      <w:r w:rsidR="00656FD3">
        <w:rPr>
          <w:sz w:val="24"/>
          <w:szCs w:val="24"/>
        </w:rPr>
        <w:t>mit</w:t>
      </w:r>
      <w:r w:rsidR="000500C7">
        <w:rPr>
          <w:sz w:val="24"/>
          <w:szCs w:val="24"/>
        </w:rPr>
        <w:t xml:space="preserve"> </w:t>
      </w:r>
      <w:r w:rsidR="000500C7">
        <w:rPr>
          <w:i/>
          <w:sz w:val="24"/>
          <w:szCs w:val="24"/>
        </w:rPr>
        <w:t xml:space="preserve">Die Vertreibung der Juden aus Spanien </w:t>
      </w:r>
      <w:r w:rsidR="000500C7">
        <w:rPr>
          <w:sz w:val="24"/>
          <w:szCs w:val="24"/>
        </w:rPr>
        <w:t>entwickelt</w:t>
      </w:r>
      <w:r w:rsidR="00656FD3">
        <w:rPr>
          <w:sz w:val="24"/>
          <w:szCs w:val="24"/>
        </w:rPr>
        <w:t xml:space="preserve"> hatte</w:t>
      </w:r>
      <w:r w:rsidR="00373D5D">
        <w:rPr>
          <w:sz w:val="24"/>
          <w:szCs w:val="24"/>
        </w:rPr>
        <w:t>,</w:t>
      </w:r>
      <w:r w:rsidR="000A0D5D">
        <w:rPr>
          <w:sz w:val="24"/>
          <w:szCs w:val="24"/>
        </w:rPr>
        <w:t xml:space="preserve"> </w:t>
      </w:r>
      <w:r w:rsidR="003539E7">
        <w:rPr>
          <w:sz w:val="24"/>
          <w:szCs w:val="24"/>
        </w:rPr>
        <w:t>entsprach</w:t>
      </w:r>
      <w:r w:rsidR="000A0D5D">
        <w:rPr>
          <w:sz w:val="24"/>
          <w:szCs w:val="24"/>
        </w:rPr>
        <w:t xml:space="preserve"> in keiner Weise </w:t>
      </w:r>
      <w:r w:rsidR="003539E7">
        <w:rPr>
          <w:sz w:val="24"/>
          <w:szCs w:val="24"/>
        </w:rPr>
        <w:t>de</w:t>
      </w:r>
      <w:r w:rsidR="000A0D5D">
        <w:rPr>
          <w:sz w:val="24"/>
          <w:szCs w:val="24"/>
        </w:rPr>
        <w:t>n</w:t>
      </w:r>
      <w:r w:rsidR="00656FD3">
        <w:rPr>
          <w:sz w:val="24"/>
          <w:szCs w:val="24"/>
        </w:rPr>
        <w:t xml:space="preserve"> </w:t>
      </w:r>
      <w:r w:rsidR="00040A3A">
        <w:rPr>
          <w:sz w:val="24"/>
          <w:szCs w:val="24"/>
        </w:rPr>
        <w:t xml:space="preserve">gängigen </w:t>
      </w:r>
      <w:r w:rsidR="00656FD3">
        <w:rPr>
          <w:sz w:val="24"/>
          <w:szCs w:val="24"/>
        </w:rPr>
        <w:t>Ansichten</w:t>
      </w:r>
      <w:r w:rsidR="003539E7">
        <w:rPr>
          <w:sz w:val="24"/>
          <w:szCs w:val="24"/>
        </w:rPr>
        <w:t xml:space="preserve"> </w:t>
      </w:r>
      <w:r w:rsidR="00040A3A">
        <w:rPr>
          <w:sz w:val="24"/>
          <w:szCs w:val="24"/>
        </w:rPr>
        <w:t>des Exils über die NS-Diktatur wie über die Judenverfolgung in Deutschland und die von ihr ausgehenden Gefahren für den Teil der Bevölkerung, der Deutschland noch nicht verlassen hatte</w:t>
      </w:r>
      <w:r w:rsidR="000A0D5D">
        <w:rPr>
          <w:sz w:val="24"/>
          <w:szCs w:val="24"/>
        </w:rPr>
        <w:t xml:space="preserve">. </w:t>
      </w:r>
      <w:r w:rsidR="00373D5D">
        <w:rPr>
          <w:sz w:val="24"/>
          <w:szCs w:val="24"/>
        </w:rPr>
        <w:t xml:space="preserve">Es stellte einen Affront </w:t>
      </w:r>
      <w:r w:rsidR="006F3729">
        <w:rPr>
          <w:sz w:val="24"/>
          <w:szCs w:val="24"/>
        </w:rPr>
        <w:t>gegenüber Emigranten wie Heinrich Mann dar, die das Exil als „freiwilligen Entschluss“</w:t>
      </w:r>
      <w:r w:rsidR="00040A3A">
        <w:rPr>
          <w:sz w:val="24"/>
          <w:szCs w:val="24"/>
        </w:rPr>
        <w:t xml:space="preserve">, als demonstrativen Akt nach dem Vorbild Victor Hugos oder Emile </w:t>
      </w:r>
      <w:proofErr w:type="spellStart"/>
      <w:r w:rsidR="00040A3A">
        <w:rPr>
          <w:sz w:val="24"/>
          <w:szCs w:val="24"/>
        </w:rPr>
        <w:t>Zolas</w:t>
      </w:r>
      <w:proofErr w:type="spellEnd"/>
      <w:r w:rsidR="006F3729">
        <w:rPr>
          <w:sz w:val="24"/>
          <w:szCs w:val="24"/>
        </w:rPr>
        <w:t xml:space="preserve"> verstanden.</w:t>
      </w:r>
      <w:r w:rsidR="003539E7">
        <w:rPr>
          <w:sz w:val="24"/>
          <w:szCs w:val="24"/>
        </w:rPr>
        <w:t xml:space="preserve"> </w:t>
      </w:r>
      <w:r w:rsidR="00040A3A">
        <w:rPr>
          <w:sz w:val="24"/>
          <w:szCs w:val="24"/>
        </w:rPr>
        <w:t>Es war ein</w:t>
      </w:r>
      <w:r w:rsidR="003539E7">
        <w:rPr>
          <w:sz w:val="24"/>
          <w:szCs w:val="24"/>
        </w:rPr>
        <w:t xml:space="preserve"> Affront</w:t>
      </w:r>
      <w:r w:rsidR="003539E7" w:rsidRPr="003539E7">
        <w:rPr>
          <w:sz w:val="24"/>
          <w:szCs w:val="24"/>
        </w:rPr>
        <w:t xml:space="preserve"> </w:t>
      </w:r>
      <w:r w:rsidR="003539E7">
        <w:rPr>
          <w:sz w:val="24"/>
          <w:szCs w:val="24"/>
        </w:rPr>
        <w:t xml:space="preserve">gegenüber all denjenigen, die </w:t>
      </w:r>
      <w:r w:rsidR="00040A3A">
        <w:rPr>
          <w:sz w:val="24"/>
          <w:szCs w:val="24"/>
        </w:rPr>
        <w:t>trotz der Verbrechen, die man wahrnahm und kommentierte</w:t>
      </w:r>
      <w:r w:rsidR="00B10665">
        <w:rPr>
          <w:sz w:val="24"/>
          <w:szCs w:val="24"/>
        </w:rPr>
        <w:t>,</w:t>
      </w:r>
      <w:r w:rsidR="003539E7">
        <w:rPr>
          <w:sz w:val="24"/>
          <w:szCs w:val="24"/>
        </w:rPr>
        <w:t xml:space="preserve"> die Hoffnung auf einen Zusammenbruch der Diktatur und auf </w:t>
      </w:r>
      <w:r w:rsidR="00040A3A">
        <w:rPr>
          <w:sz w:val="24"/>
          <w:szCs w:val="24"/>
        </w:rPr>
        <w:t>die eigene</w:t>
      </w:r>
      <w:r w:rsidR="003539E7">
        <w:rPr>
          <w:sz w:val="24"/>
          <w:szCs w:val="24"/>
        </w:rPr>
        <w:t xml:space="preserve"> baldige Rückkehr nach Deutschland </w:t>
      </w:r>
      <w:r w:rsidR="00040A3A">
        <w:rPr>
          <w:sz w:val="24"/>
          <w:szCs w:val="24"/>
        </w:rPr>
        <w:t xml:space="preserve">noch </w:t>
      </w:r>
      <w:r w:rsidR="003539E7">
        <w:rPr>
          <w:sz w:val="24"/>
          <w:szCs w:val="24"/>
        </w:rPr>
        <w:t>nicht aufgegeben hatten</w:t>
      </w:r>
      <w:r w:rsidR="00B10665">
        <w:rPr>
          <w:sz w:val="24"/>
          <w:szCs w:val="24"/>
        </w:rPr>
        <w:t>;</w:t>
      </w:r>
      <w:r w:rsidR="003539E7">
        <w:rPr>
          <w:sz w:val="24"/>
          <w:szCs w:val="24"/>
        </w:rPr>
        <w:t xml:space="preserve"> ebenso </w:t>
      </w:r>
      <w:r w:rsidR="00677691">
        <w:rPr>
          <w:sz w:val="24"/>
          <w:szCs w:val="24"/>
        </w:rPr>
        <w:t>gegenüber den Zionisten</w:t>
      </w:r>
      <w:r w:rsidR="00CA354C">
        <w:rPr>
          <w:sz w:val="24"/>
          <w:szCs w:val="24"/>
        </w:rPr>
        <w:t>, die</w:t>
      </w:r>
      <w:r w:rsidR="00040A3A">
        <w:rPr>
          <w:sz w:val="24"/>
          <w:szCs w:val="24"/>
        </w:rPr>
        <w:t xml:space="preserve"> </w:t>
      </w:r>
      <w:r w:rsidR="00CA354C">
        <w:rPr>
          <w:sz w:val="24"/>
          <w:szCs w:val="24"/>
        </w:rPr>
        <w:t xml:space="preserve">konsequent auf die Palästina-Auswanderung </w:t>
      </w:r>
      <w:r w:rsidR="008E2896">
        <w:rPr>
          <w:sz w:val="24"/>
          <w:szCs w:val="24"/>
        </w:rPr>
        <w:t xml:space="preserve">und damit auf die Konstitution eines jüdischen Nationalstaats </w:t>
      </w:r>
      <w:r w:rsidR="00CA354C">
        <w:rPr>
          <w:sz w:val="24"/>
          <w:szCs w:val="24"/>
        </w:rPr>
        <w:t>setzten</w:t>
      </w:r>
      <w:r w:rsidR="003539E7">
        <w:rPr>
          <w:sz w:val="24"/>
          <w:szCs w:val="24"/>
        </w:rPr>
        <w:t>. Als säkularer, nicht religiös gebundener Jude</w:t>
      </w:r>
      <w:r w:rsidR="008E2896">
        <w:rPr>
          <w:sz w:val="24"/>
          <w:szCs w:val="24"/>
        </w:rPr>
        <w:t xml:space="preserve"> und</w:t>
      </w:r>
      <w:r w:rsidR="003539E7">
        <w:rPr>
          <w:sz w:val="24"/>
          <w:szCs w:val="24"/>
        </w:rPr>
        <w:t xml:space="preserve"> ehemaliger Kommunist</w:t>
      </w:r>
      <w:r w:rsidR="008E2896">
        <w:rPr>
          <w:sz w:val="24"/>
          <w:szCs w:val="24"/>
        </w:rPr>
        <w:t>, der dem Bürgertum näher stand als den linken politischen Parteien,</w:t>
      </w:r>
      <w:r w:rsidR="003539E7">
        <w:rPr>
          <w:sz w:val="24"/>
          <w:szCs w:val="24"/>
        </w:rPr>
        <w:t xml:space="preserve"> war </w:t>
      </w:r>
      <w:proofErr w:type="spellStart"/>
      <w:r w:rsidR="003539E7">
        <w:rPr>
          <w:sz w:val="24"/>
          <w:szCs w:val="24"/>
        </w:rPr>
        <w:t>Marcu</w:t>
      </w:r>
      <w:proofErr w:type="spellEnd"/>
      <w:r w:rsidR="003539E7">
        <w:rPr>
          <w:sz w:val="24"/>
          <w:szCs w:val="24"/>
        </w:rPr>
        <w:t xml:space="preserve"> isoliert. Dies eröffnete Missverständnissen und Fehldeutungen seines Buches Tür und Tor. Das Exil </w:t>
      </w:r>
      <w:r w:rsidR="008E2896">
        <w:rPr>
          <w:sz w:val="24"/>
          <w:szCs w:val="24"/>
        </w:rPr>
        <w:t xml:space="preserve">scheute zu diesem Zeitpunkt </w:t>
      </w:r>
      <w:r w:rsidR="003539E7">
        <w:rPr>
          <w:sz w:val="24"/>
          <w:szCs w:val="24"/>
        </w:rPr>
        <w:t>jedoch</w:t>
      </w:r>
      <w:r w:rsidR="008E2896">
        <w:rPr>
          <w:sz w:val="24"/>
          <w:szCs w:val="24"/>
        </w:rPr>
        <w:t xml:space="preserve"> noch</w:t>
      </w:r>
      <w:r w:rsidR="003539E7">
        <w:rPr>
          <w:sz w:val="24"/>
          <w:szCs w:val="24"/>
        </w:rPr>
        <w:t xml:space="preserve"> den </w:t>
      </w:r>
      <w:r w:rsidR="008E2896">
        <w:rPr>
          <w:sz w:val="24"/>
          <w:szCs w:val="24"/>
        </w:rPr>
        <w:t xml:space="preserve">offen Austrag von </w:t>
      </w:r>
      <w:r w:rsidR="003539E7">
        <w:rPr>
          <w:sz w:val="24"/>
          <w:szCs w:val="24"/>
        </w:rPr>
        <w:t>Konflikte</w:t>
      </w:r>
      <w:r w:rsidR="008E2896">
        <w:rPr>
          <w:sz w:val="24"/>
          <w:szCs w:val="24"/>
        </w:rPr>
        <w:t>n</w:t>
      </w:r>
      <w:r w:rsidR="00DE6BEE">
        <w:rPr>
          <w:sz w:val="24"/>
          <w:szCs w:val="24"/>
        </w:rPr>
        <w:t xml:space="preserve">, </w:t>
      </w:r>
      <w:r w:rsidR="008E2896">
        <w:rPr>
          <w:sz w:val="24"/>
          <w:szCs w:val="24"/>
        </w:rPr>
        <w:t>deshalb wurden</w:t>
      </w:r>
      <w:r w:rsidR="00DE6BEE">
        <w:rPr>
          <w:sz w:val="24"/>
          <w:szCs w:val="24"/>
        </w:rPr>
        <w:t xml:space="preserve"> der Autor und sein Buch durch Schweigen bestraft.</w:t>
      </w:r>
    </w:p>
    <w:p w:rsidR="000F06C2" w:rsidRDefault="000F06C2" w:rsidP="005F0DB1">
      <w:pPr>
        <w:spacing w:after="0"/>
        <w:rPr>
          <w:sz w:val="24"/>
          <w:szCs w:val="24"/>
        </w:rPr>
      </w:pPr>
    </w:p>
    <w:p w:rsidR="00CA354C" w:rsidRDefault="00CA354C" w:rsidP="000C6F1E"/>
    <w:sectPr w:rsidR="00CA354C" w:rsidSect="00635DF4">
      <w:headerReference w:type="default" r:id="rId7"/>
      <w:pgSz w:w="11906" w:h="16838"/>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22" w:rsidRDefault="00831222" w:rsidP="005F0DB1">
      <w:pPr>
        <w:spacing w:after="0" w:line="240" w:lineRule="auto"/>
      </w:pPr>
      <w:r>
        <w:separator/>
      </w:r>
    </w:p>
  </w:endnote>
  <w:endnote w:type="continuationSeparator" w:id="0">
    <w:p w:rsidR="00831222" w:rsidRDefault="00831222" w:rsidP="005F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22" w:rsidRDefault="00831222" w:rsidP="005F0DB1">
      <w:pPr>
        <w:spacing w:after="0" w:line="240" w:lineRule="auto"/>
      </w:pPr>
      <w:r>
        <w:separator/>
      </w:r>
    </w:p>
  </w:footnote>
  <w:footnote w:type="continuationSeparator" w:id="0">
    <w:p w:rsidR="00831222" w:rsidRDefault="00831222" w:rsidP="005F0DB1">
      <w:pPr>
        <w:spacing w:after="0" w:line="240" w:lineRule="auto"/>
      </w:pPr>
      <w:r>
        <w:continuationSeparator/>
      </w:r>
    </w:p>
  </w:footnote>
  <w:footnote w:id="1">
    <w:p w:rsidR="005066BF" w:rsidRPr="00763C2B" w:rsidRDefault="005066BF" w:rsidP="00AC6B96">
      <w:pPr>
        <w:pStyle w:val="Funotentext"/>
      </w:pPr>
      <w:r>
        <w:rPr>
          <w:rStyle w:val="Funotenzeichen"/>
        </w:rPr>
        <w:footnoteRef/>
      </w:r>
      <w:r>
        <w:t xml:space="preserve"> Valeriu </w:t>
      </w:r>
      <w:proofErr w:type="spellStart"/>
      <w:r>
        <w:t>Marcu</w:t>
      </w:r>
      <w:proofErr w:type="spellEnd"/>
      <w:r>
        <w:t xml:space="preserve">: </w:t>
      </w:r>
      <w:r>
        <w:rPr>
          <w:i/>
        </w:rPr>
        <w:t>Die Vertreibung der Juden aus Spanien.</w:t>
      </w:r>
      <w:r>
        <w:t xml:space="preserve"> Amsterdam: </w:t>
      </w:r>
      <w:proofErr w:type="spellStart"/>
      <w:r>
        <w:t>Querido</w:t>
      </w:r>
      <w:proofErr w:type="spellEnd"/>
      <w:r>
        <w:t xml:space="preserve"> Verlag 1934. – Der Text wird mit dem Stichwort „Vertreibung“ und der Seitenzahl zitiert.</w:t>
      </w:r>
    </w:p>
  </w:footnote>
  <w:footnote w:id="2">
    <w:p w:rsidR="005066BF" w:rsidRDefault="005066BF">
      <w:pPr>
        <w:pStyle w:val="Funotentext"/>
      </w:pPr>
      <w:r>
        <w:rPr>
          <w:rStyle w:val="Funotenzeichen"/>
        </w:rPr>
        <w:footnoteRef/>
      </w:r>
      <w:r>
        <w:t xml:space="preserve"> Valeriu </w:t>
      </w:r>
      <w:proofErr w:type="spellStart"/>
      <w:r>
        <w:t>Marcu</w:t>
      </w:r>
      <w:proofErr w:type="spellEnd"/>
      <w:r>
        <w:t xml:space="preserve">, geb. am 8. März 1899 in Bukarest, gest. am 4. Dez. 1942 in New York durch einen Schlaganfall. Zur Biografie Marcus vgl. das Nachwort von Andrei </w:t>
      </w:r>
      <w:proofErr w:type="spellStart"/>
      <w:r>
        <w:t>Corbea</w:t>
      </w:r>
      <w:proofErr w:type="spellEnd"/>
      <w:r>
        <w:t xml:space="preserve"> in der Neuauflage von </w:t>
      </w:r>
      <w:r>
        <w:rPr>
          <w:i/>
        </w:rPr>
        <w:t>Die Vertreibung der Juden aus Spanien</w:t>
      </w:r>
      <w:r>
        <w:t xml:space="preserve"> (München: Matthes &amp; Seitz 1991), S. 217 – 285.</w:t>
      </w:r>
    </w:p>
  </w:footnote>
  <w:footnote w:id="3">
    <w:p w:rsidR="005066BF" w:rsidRPr="00E005B9" w:rsidRDefault="005066BF" w:rsidP="00487D39">
      <w:pPr>
        <w:pStyle w:val="Funotentext"/>
      </w:pPr>
      <w:r>
        <w:rPr>
          <w:rStyle w:val="Funotenzeichen"/>
        </w:rPr>
        <w:footnoteRef/>
      </w:r>
      <w:r>
        <w:t xml:space="preserve"> Zur Einschätzung der Person Marcus durch die KPD vgl. die Rezension durch den österreichischen Kommunisten Otto Heller (</w:t>
      </w:r>
      <w:r w:rsidRPr="004F63F4">
        <w:t xml:space="preserve">Otto Heller: Ein smarter Blutmystiker. Valeriu </w:t>
      </w:r>
      <w:proofErr w:type="spellStart"/>
      <w:r w:rsidRPr="004F63F4">
        <w:t>Marcu</w:t>
      </w:r>
      <w:proofErr w:type="spellEnd"/>
      <w:r w:rsidRPr="004F63F4">
        <w:t xml:space="preserve">: „Die Vertreibung der Juden aus Spanien“. </w:t>
      </w:r>
      <w:proofErr w:type="spellStart"/>
      <w:r w:rsidRPr="004F63F4">
        <w:t>Querido</w:t>
      </w:r>
      <w:proofErr w:type="spellEnd"/>
      <w:r w:rsidRPr="004F63F4">
        <w:t xml:space="preserve">-Verlag, Amsterdam. – In: </w:t>
      </w:r>
      <w:r w:rsidRPr="004F63F4">
        <w:rPr>
          <w:i/>
        </w:rPr>
        <w:t>Neue Deutsche Blätter</w:t>
      </w:r>
      <w:r w:rsidRPr="004F63F4">
        <w:t xml:space="preserve"> 1934, H. 10 (Juli 1934), S. 644 – 645</w:t>
      </w:r>
      <w:r>
        <w:t xml:space="preserve">). Eine wesentlich positivere (anonyme) Besprechung erscheint im </w:t>
      </w:r>
      <w:r>
        <w:rPr>
          <w:i/>
        </w:rPr>
        <w:t>Neuen Tage-Buch</w:t>
      </w:r>
      <w:r>
        <w:t xml:space="preserve"> (31. März 1934, S. 306 f.).</w:t>
      </w:r>
    </w:p>
  </w:footnote>
  <w:footnote w:id="4">
    <w:p w:rsidR="005066BF" w:rsidRDefault="005066BF" w:rsidP="009C63D2">
      <w:pPr>
        <w:pStyle w:val="Funotentext"/>
      </w:pPr>
      <w:r>
        <w:rPr>
          <w:rStyle w:val="Funotenzeichen"/>
        </w:rPr>
        <w:footnoteRef/>
      </w:r>
      <w:r>
        <w:t xml:space="preserve"> Persönliche Auskunft von Fritz </w:t>
      </w:r>
      <w:proofErr w:type="spellStart"/>
      <w:r>
        <w:t>Landshoff</w:t>
      </w:r>
      <w:proofErr w:type="spellEnd"/>
      <w:r>
        <w:t xml:space="preserve"> an den Verf.</w:t>
      </w:r>
      <w:r w:rsidRPr="000A5CA5">
        <w:t xml:space="preserve"> </w:t>
      </w:r>
      <w:r>
        <w:t xml:space="preserve">– Der Absatz des Buches enttäuschte. Hans-Albert Walter zitiert hierzu einen Brief Lion Feuchtwangers an Arnold Zweig vom April 1934: „Die Bücher von Döblin, Schwarzschild, </w:t>
      </w:r>
      <w:proofErr w:type="spellStart"/>
      <w:r>
        <w:t>Marcu</w:t>
      </w:r>
      <w:proofErr w:type="spellEnd"/>
      <w:r>
        <w:t xml:space="preserve"> gehen sehr schlecht“ (Hans-Albert Walter: </w:t>
      </w:r>
      <w:r>
        <w:rPr>
          <w:i/>
        </w:rPr>
        <w:t xml:space="preserve">Fritz H. </w:t>
      </w:r>
      <w:proofErr w:type="spellStart"/>
      <w:r>
        <w:rPr>
          <w:i/>
        </w:rPr>
        <w:t>Landshoff</w:t>
      </w:r>
      <w:proofErr w:type="spellEnd"/>
      <w:r>
        <w:rPr>
          <w:i/>
        </w:rPr>
        <w:t xml:space="preserve"> und der </w:t>
      </w:r>
      <w:proofErr w:type="spellStart"/>
      <w:r>
        <w:rPr>
          <w:i/>
        </w:rPr>
        <w:t>Querido</w:t>
      </w:r>
      <w:proofErr w:type="spellEnd"/>
      <w:r>
        <w:rPr>
          <w:i/>
        </w:rPr>
        <w:t xml:space="preserve"> Verlag 1933 – 1950.</w:t>
      </w:r>
      <w:r>
        <w:t xml:space="preserve"> </w:t>
      </w:r>
      <w:proofErr w:type="spellStart"/>
      <w:r>
        <w:rPr>
          <w:i/>
        </w:rPr>
        <w:t>Marbacher</w:t>
      </w:r>
      <w:proofErr w:type="spellEnd"/>
      <w:r>
        <w:rPr>
          <w:i/>
        </w:rPr>
        <w:t xml:space="preserve"> Magazin</w:t>
      </w:r>
      <w:r>
        <w:t xml:space="preserve"> 78, 1997, S. 115). Feuchtwanger bezieht sich hier auf Döblins </w:t>
      </w:r>
      <w:r>
        <w:rPr>
          <w:i/>
        </w:rPr>
        <w:t>Jüdische Erneuerung,</w:t>
      </w:r>
      <w:r>
        <w:t xml:space="preserve"> Schwarzschilds </w:t>
      </w:r>
      <w:r>
        <w:rPr>
          <w:i/>
        </w:rPr>
        <w:t>Das Ende der Illusionen</w:t>
      </w:r>
      <w:r>
        <w:t xml:space="preserve"> und auf Marcus </w:t>
      </w:r>
      <w:r>
        <w:rPr>
          <w:i/>
        </w:rPr>
        <w:t>Spanien</w:t>
      </w:r>
      <w:r>
        <w:t xml:space="preserve">-Buch. Offenbar entsprachen die Bücher in den Jahren 1933/34 thematisch wie politisch nur bedingt dem Selbstverständnis und den Erwartungen des politischen Exils. </w:t>
      </w:r>
    </w:p>
  </w:footnote>
  <w:footnote w:id="5">
    <w:p w:rsidR="005066BF" w:rsidRPr="00F577FB" w:rsidRDefault="005066BF">
      <w:pPr>
        <w:pStyle w:val="Funotentext"/>
      </w:pPr>
      <w:r>
        <w:rPr>
          <w:rStyle w:val="Funotenzeichen"/>
        </w:rPr>
        <w:footnoteRef/>
      </w:r>
      <w:r>
        <w:t xml:space="preserve"> Zur „Zimmerwalder Linken“ und ihrem Manifest vgl. </w:t>
      </w:r>
      <w:r>
        <w:rPr>
          <w:rStyle w:val="HTMLZitat"/>
        </w:rPr>
        <w:t>de.wikipedia.org/.../</w:t>
      </w:r>
      <w:proofErr w:type="spellStart"/>
      <w:r w:rsidRPr="00F577FB">
        <w:rPr>
          <w:rStyle w:val="HTMLZitat"/>
          <w:bCs/>
        </w:rPr>
        <w:t>Zimmerwalder</w:t>
      </w:r>
      <w:r>
        <w:rPr>
          <w:rStyle w:val="HTMLZitat"/>
        </w:rPr>
        <w:t>_Manifest</w:t>
      </w:r>
      <w:proofErr w:type="spellEnd"/>
      <w:r>
        <w:rPr>
          <w:rStyle w:val="HTMLZitat"/>
          <w:i w:val="0"/>
        </w:rPr>
        <w:t>. Zugriff am 19. April 2011. – Die Tagung von Zimmerwald ist von zentraler Bedeutung für die Entstehung der Komintern.</w:t>
      </w:r>
    </w:p>
  </w:footnote>
  <w:footnote w:id="6">
    <w:p w:rsidR="005066BF" w:rsidRPr="009B1BB9" w:rsidRDefault="005066BF">
      <w:pPr>
        <w:pStyle w:val="Funotentext"/>
      </w:pPr>
      <w:r>
        <w:rPr>
          <w:rStyle w:val="Funotenzeichen"/>
        </w:rPr>
        <w:footnoteRef/>
      </w:r>
      <w:r w:rsidRPr="009B1BB9">
        <w:t xml:space="preserve"> Vgl. Babette Gross: </w:t>
      </w:r>
      <w:r w:rsidRPr="009B1BB9">
        <w:rPr>
          <w:i/>
        </w:rPr>
        <w:t>Willi Münzenber</w:t>
      </w:r>
      <w:r>
        <w:rPr>
          <w:i/>
        </w:rPr>
        <w:t>g</w:t>
      </w:r>
      <w:r>
        <w:t xml:space="preserve">. Eine politische Biografie. Leipzig 1991, S. 89. </w:t>
      </w:r>
    </w:p>
  </w:footnote>
  <w:footnote w:id="7">
    <w:p w:rsidR="005066BF" w:rsidRPr="00FA588B" w:rsidRDefault="005066BF">
      <w:pPr>
        <w:pStyle w:val="Funotentext"/>
      </w:pPr>
      <w:r>
        <w:rPr>
          <w:rStyle w:val="Funotenzeichen"/>
        </w:rPr>
        <w:footnoteRef/>
      </w:r>
      <w:r>
        <w:t xml:space="preserve"> Andrei </w:t>
      </w:r>
      <w:proofErr w:type="spellStart"/>
      <w:r>
        <w:t>Corbea</w:t>
      </w:r>
      <w:proofErr w:type="spellEnd"/>
      <w:r>
        <w:t xml:space="preserve">: </w:t>
      </w:r>
      <w:r>
        <w:rPr>
          <w:i/>
        </w:rPr>
        <w:t>Nachwort,</w:t>
      </w:r>
      <w:r>
        <w:t xml:space="preserve"> S. 227.</w:t>
      </w:r>
    </w:p>
  </w:footnote>
  <w:footnote w:id="8">
    <w:p w:rsidR="005066BF" w:rsidRPr="00DD725F" w:rsidRDefault="005066BF">
      <w:pPr>
        <w:pStyle w:val="Funotentext"/>
      </w:pPr>
      <w:r>
        <w:rPr>
          <w:rStyle w:val="Funotenzeichen"/>
        </w:rPr>
        <w:footnoteRef/>
      </w:r>
      <w:r>
        <w:t xml:space="preserve"> Zum Umfang und zu den Aktivitäten des „Münzenberg-Konzerns“ vgl. Babette Gross: </w:t>
      </w:r>
      <w:r>
        <w:rPr>
          <w:i/>
        </w:rPr>
        <w:t>Willi Münzenberg</w:t>
      </w:r>
      <w:r>
        <w:t>, a.a.O., S. 228 – 357.</w:t>
      </w:r>
    </w:p>
  </w:footnote>
  <w:footnote w:id="9">
    <w:p w:rsidR="005066BF" w:rsidRDefault="005066BF">
      <w:pPr>
        <w:pStyle w:val="Funotentext"/>
      </w:pPr>
      <w:r>
        <w:rPr>
          <w:rStyle w:val="Funotenzeichen"/>
        </w:rPr>
        <w:footnoteRef/>
      </w:r>
      <w:r>
        <w:t xml:space="preserve"> Andrei </w:t>
      </w:r>
      <w:proofErr w:type="spellStart"/>
      <w:r>
        <w:t>Corbea</w:t>
      </w:r>
      <w:proofErr w:type="spellEnd"/>
      <w:r>
        <w:t xml:space="preserve">: </w:t>
      </w:r>
      <w:r>
        <w:rPr>
          <w:i/>
        </w:rPr>
        <w:t>Nachwort,</w:t>
      </w:r>
      <w:r>
        <w:t xml:space="preserve"> S. 238 f. </w:t>
      </w:r>
    </w:p>
  </w:footnote>
  <w:footnote w:id="10">
    <w:p w:rsidR="005066BF" w:rsidRPr="005016B5" w:rsidRDefault="005066BF">
      <w:pPr>
        <w:pStyle w:val="Funotentext"/>
      </w:pPr>
      <w:r>
        <w:rPr>
          <w:rStyle w:val="Funotenzeichen"/>
        </w:rPr>
        <w:footnoteRef/>
      </w:r>
      <w:r>
        <w:t xml:space="preserve"> Willi Münzenberg: </w:t>
      </w:r>
      <w:r>
        <w:rPr>
          <w:i/>
        </w:rPr>
        <w:t>Die dritte Front.</w:t>
      </w:r>
      <w:r>
        <w:t xml:space="preserve"> Berlin 1930, S. 224, zitiert bei Andrei </w:t>
      </w:r>
      <w:proofErr w:type="spellStart"/>
      <w:r>
        <w:t>Corbea</w:t>
      </w:r>
      <w:proofErr w:type="spellEnd"/>
      <w:r>
        <w:t xml:space="preserve">: </w:t>
      </w:r>
      <w:r>
        <w:rPr>
          <w:i/>
        </w:rPr>
        <w:t>Nachwort,</w:t>
      </w:r>
      <w:r>
        <w:t xml:space="preserve"> S. 237.</w:t>
      </w:r>
    </w:p>
  </w:footnote>
  <w:footnote w:id="11">
    <w:p w:rsidR="005066BF" w:rsidRPr="002C2658" w:rsidRDefault="005066BF">
      <w:pPr>
        <w:pStyle w:val="Funotentext"/>
      </w:pPr>
      <w:r>
        <w:rPr>
          <w:rStyle w:val="Funotenzeichen"/>
        </w:rPr>
        <w:footnoteRef/>
      </w:r>
      <w:r>
        <w:t xml:space="preserve"> Zitiert bei Babette Gross: </w:t>
      </w:r>
      <w:r>
        <w:rPr>
          <w:i/>
        </w:rPr>
        <w:t>Münzenberg,</w:t>
      </w:r>
      <w:r>
        <w:t xml:space="preserve"> S. 234 (ursprünglich in </w:t>
      </w:r>
      <w:r>
        <w:rPr>
          <w:i/>
        </w:rPr>
        <w:t>Sichel und Hammer</w:t>
      </w:r>
      <w:r>
        <w:t>, Nr. 7, Berlin 1923).</w:t>
      </w:r>
    </w:p>
  </w:footnote>
  <w:footnote w:id="12">
    <w:p w:rsidR="005066BF" w:rsidRDefault="005066BF" w:rsidP="00860AAA">
      <w:pPr>
        <w:pStyle w:val="Funotentext"/>
      </w:pPr>
      <w:r>
        <w:rPr>
          <w:rStyle w:val="Funotenzeichen"/>
        </w:rPr>
        <w:footnoteRef/>
      </w:r>
      <w:r>
        <w:t xml:space="preserve"> Vgl. die bereits erwähnte Rezension von Otto Heller. Heller spricht von </w:t>
      </w:r>
      <w:proofErr w:type="spellStart"/>
      <w:r>
        <w:t>Marcu</w:t>
      </w:r>
      <w:proofErr w:type="spellEnd"/>
      <w:r>
        <w:t xml:space="preserve"> als dem „rumänische[n] </w:t>
      </w:r>
      <w:proofErr w:type="spellStart"/>
      <w:r>
        <w:t>Hausjude</w:t>
      </w:r>
      <w:proofErr w:type="spellEnd"/>
      <w:r>
        <w:t xml:space="preserve">[n] des General v. </w:t>
      </w:r>
      <w:proofErr w:type="spellStart"/>
      <w:r>
        <w:t>Seeckt</w:t>
      </w:r>
      <w:proofErr w:type="spellEnd"/>
      <w:r>
        <w:t xml:space="preserve"> und des Herrn Reichskanzlers a.D. Brüning“ (S. 645).</w:t>
      </w:r>
    </w:p>
  </w:footnote>
  <w:footnote w:id="13">
    <w:p w:rsidR="005066BF" w:rsidRDefault="005066BF">
      <w:pPr>
        <w:pStyle w:val="Funotentext"/>
      </w:pPr>
      <w:r>
        <w:rPr>
          <w:rStyle w:val="Funotenzeichen"/>
        </w:rPr>
        <w:footnoteRef/>
      </w:r>
      <w:r>
        <w:t xml:space="preserve"> </w:t>
      </w:r>
      <w:proofErr w:type="spellStart"/>
      <w:r>
        <w:t>Marcu</w:t>
      </w:r>
      <w:proofErr w:type="spellEnd"/>
      <w:r>
        <w:t xml:space="preserve"> führt – beiläufig – drei Historiker als Referenz an: </w:t>
      </w:r>
      <w:r w:rsidRPr="00E442E1">
        <w:t xml:space="preserve">Heinrich Graetz, Leopold von Ranke und Jacob </w:t>
      </w:r>
      <w:proofErr w:type="spellStart"/>
      <w:r w:rsidRPr="00E442E1">
        <w:t>Buckhardt</w:t>
      </w:r>
      <w:proofErr w:type="spellEnd"/>
      <w:r>
        <w:t xml:space="preserve"> (</w:t>
      </w:r>
      <w:r w:rsidRPr="00E442E1">
        <w:rPr>
          <w:i/>
        </w:rPr>
        <w:t>Vertreibung</w:t>
      </w:r>
      <w:r>
        <w:t xml:space="preserve">, S. 5, 37, 201). </w:t>
      </w:r>
      <w:proofErr w:type="spellStart"/>
      <w:r>
        <w:t>Marcu</w:t>
      </w:r>
      <w:proofErr w:type="spellEnd"/>
      <w:r>
        <w:t xml:space="preserve"> hatte seine umfangreiche Bibliothek ins Exil retten können, auf die seine Kollegen, die in </w:t>
      </w:r>
      <w:proofErr w:type="spellStart"/>
      <w:r>
        <w:t>Sanary</w:t>
      </w:r>
      <w:proofErr w:type="spellEnd"/>
      <w:r>
        <w:t xml:space="preserve"> lebten, immer wieder zurückgriffen. </w:t>
      </w:r>
    </w:p>
  </w:footnote>
  <w:footnote w:id="14">
    <w:p w:rsidR="005066BF" w:rsidRDefault="005066BF">
      <w:pPr>
        <w:pStyle w:val="Funotentext"/>
      </w:pPr>
      <w:r>
        <w:rPr>
          <w:rStyle w:val="Funotenzeichen"/>
        </w:rPr>
        <w:footnoteRef/>
      </w:r>
      <w:r>
        <w:t xml:space="preserve"> Der anonyme Rezensent im </w:t>
      </w:r>
      <w:r w:rsidRPr="009C59F1">
        <w:rPr>
          <w:i/>
        </w:rPr>
        <w:t>Neuen Tage-Buch</w:t>
      </w:r>
      <w:r>
        <w:t xml:space="preserve"> spricht davon, dass </w:t>
      </w:r>
      <w:proofErr w:type="spellStart"/>
      <w:r>
        <w:t>Marcu</w:t>
      </w:r>
      <w:proofErr w:type="spellEnd"/>
      <w:r>
        <w:t xml:space="preserve"> „das Bild der Passion mit fatalistischem Gleichmut“ male (S. 306). Ebenso sagt er, dass „sich dem Leser die </w:t>
      </w:r>
      <w:proofErr w:type="spellStart"/>
      <w:r>
        <w:t>äusseren</w:t>
      </w:r>
      <w:proofErr w:type="spellEnd"/>
      <w:r>
        <w:t xml:space="preserve"> </w:t>
      </w:r>
      <w:proofErr w:type="spellStart"/>
      <w:r>
        <w:t>Aehnlichkeiten</w:t>
      </w:r>
      <w:proofErr w:type="spellEnd"/>
      <w:r>
        <w:t xml:space="preserve"> zwischen damals und heute“ unabweisbar aufdrängen (S. 306). Damit trifft er zweifelsohne Marcus Intention.</w:t>
      </w:r>
    </w:p>
  </w:footnote>
  <w:footnote w:id="15">
    <w:p w:rsidR="005066BF" w:rsidRDefault="005066BF" w:rsidP="004B4FE0">
      <w:pPr>
        <w:spacing w:after="0" w:line="240" w:lineRule="auto"/>
      </w:pPr>
      <w:r>
        <w:rPr>
          <w:rStyle w:val="Funotenzeichen"/>
        </w:rPr>
        <w:footnoteRef/>
      </w:r>
      <w:r>
        <w:t xml:space="preserve"> </w:t>
      </w:r>
      <w:proofErr w:type="spellStart"/>
      <w:r>
        <w:t>Marcu</w:t>
      </w:r>
      <w:proofErr w:type="spellEnd"/>
      <w:r>
        <w:t xml:space="preserve"> beruft sich hierzu auf Leopold von Ranke. Er stellt dem Buch Rankes Aussage über die Relevanz des „Blutmythos“ als Motiv für die Judenverfolgungen voran: </w:t>
      </w:r>
      <w:r w:rsidRPr="004F63F4">
        <w:t xml:space="preserve">„Die Vorurteile von dem Unterschied des reinen und des schlechten Blutes haben sich in Spanien wie in keinem andern Land festgesetzt. … Für die meisten </w:t>
      </w:r>
      <w:proofErr w:type="spellStart"/>
      <w:r w:rsidRPr="004F63F4">
        <w:t>Aemter</w:t>
      </w:r>
      <w:proofErr w:type="spellEnd"/>
      <w:r w:rsidRPr="004F63F4">
        <w:t xml:space="preserve"> war ein Beweis des reinen Blutes erforderlich, und es schien schon eine große Erleichterung, wenn man dabei nicht höher als bis zur vierten Generation zurückging … Nicht rein katholischen Glaubens sein, scheint diesem Volke </w:t>
      </w:r>
      <w:proofErr w:type="spellStart"/>
      <w:r w:rsidRPr="004F63F4">
        <w:t>ebensogut</w:t>
      </w:r>
      <w:proofErr w:type="spellEnd"/>
      <w:r w:rsidRPr="004F63F4">
        <w:t xml:space="preserve"> ein Fehler des Blutes wie der Gesinnung, daher kommt der Wert, den sie auf das reine Blut, die </w:t>
      </w:r>
      <w:proofErr w:type="spellStart"/>
      <w:r w:rsidRPr="004F63F4">
        <w:t>Limpezza</w:t>
      </w:r>
      <w:proofErr w:type="spellEnd"/>
      <w:r w:rsidRPr="004F63F4">
        <w:t xml:space="preserve">, legen … Indem nun die Inquisition gleichsam eine Waffe des reinen wider das befleckte Blut, der Kinder germanischer und romanischer Christen wider die Abkömmlinge von Juden und Mauren fand, so fand dieselbe in der Nation den größten Anhalt“ </w:t>
      </w:r>
      <w:r>
        <w:t>(</w:t>
      </w:r>
      <w:r>
        <w:rPr>
          <w:i/>
        </w:rPr>
        <w:t>Vertreibung</w:t>
      </w:r>
      <w:r>
        <w:t>, S. 5).</w:t>
      </w:r>
    </w:p>
  </w:footnote>
  <w:footnote w:id="16">
    <w:p w:rsidR="005066BF" w:rsidRDefault="005066BF" w:rsidP="002F73EC">
      <w:pPr>
        <w:spacing w:after="0" w:line="240" w:lineRule="auto"/>
      </w:pPr>
      <w:r>
        <w:rPr>
          <w:rStyle w:val="Funotenzeichen"/>
        </w:rPr>
        <w:footnoteRef/>
      </w:r>
      <w:r>
        <w:t xml:space="preserve"> </w:t>
      </w:r>
      <w:proofErr w:type="spellStart"/>
      <w:r>
        <w:t>Marcu</w:t>
      </w:r>
      <w:proofErr w:type="spellEnd"/>
      <w:r>
        <w:t xml:space="preserve"> verweist ausdrücklich auf die „romantischen“ Wurzeln des spanischen Antisemitismus: „Die Romantik aus den Ritterbüchern beseelte die Inquisition. Das Erstgeburtsrecht der einen Rasse wurde proklamiert. Die Quelle dieses erträumten Blutes lag in den Pyrenäen. Vor sieben Jahrhunderten haben sich die Echten fechtend ins Gebirge vor maurischer Übermacht zurückgezogen und sind rein geblieben. Durch Wunder haben sie gesiegt, die Heiligen verstärkten ihre Reihen und aus ihren Gräbern schossen Flammen gegen die Ungläubigen. Alles, was im Tal geblieben ist, was sich der Fremdherrschaft unterwarf, ist unrein, von Mauren- und Judenblut besudelt.</w:t>
      </w:r>
    </w:p>
    <w:p w:rsidR="005066BF" w:rsidRPr="00302186" w:rsidRDefault="005066BF" w:rsidP="00916C16">
      <w:pPr>
        <w:spacing w:after="0" w:line="240" w:lineRule="auto"/>
      </w:pPr>
      <w:r>
        <w:t xml:space="preserve">Die Nachfolge der reinen Ritter, der Pyrenäenhelden, </w:t>
      </w:r>
      <w:proofErr w:type="spellStart"/>
      <w:r>
        <w:t>muß</w:t>
      </w:r>
      <w:proofErr w:type="spellEnd"/>
      <w:r>
        <w:t xml:space="preserve"> mit dem Schwerte geschützt werden; nur sie ist </w:t>
      </w:r>
      <w:proofErr w:type="spellStart"/>
      <w:r>
        <w:t>castilisch</w:t>
      </w:r>
      <w:proofErr w:type="spellEnd"/>
      <w:r>
        <w:t xml:space="preserve">, nur sie ist heroisch. Sie trägt die Quelle, die Reinheit – die </w:t>
      </w:r>
      <w:proofErr w:type="spellStart"/>
      <w:r>
        <w:t>Limpezza</w:t>
      </w:r>
      <w:proofErr w:type="spellEnd"/>
      <w:r>
        <w:t xml:space="preserve"> – in sich.“ (S. 115 f.) – Marcus Argumentation legt den Bezug zu Saul Friedländers Deutung des nationalsozialistischen Antisemitismus nahe. Was in Hinblick auf Spanien die „Pyrenäenhelden“ sind, sind für Deutschland die „germanischen Recken“, die Helden der Wagner-Opern. Vgl. Saul Friedländer: </w:t>
      </w:r>
      <w:r>
        <w:rPr>
          <w:i/>
        </w:rPr>
        <w:t>Das Dritte Reich und die Juden.</w:t>
      </w:r>
      <w:r>
        <w:t xml:space="preserve"> Bd. 1: </w:t>
      </w:r>
      <w:r>
        <w:rPr>
          <w:i/>
        </w:rPr>
        <w:t>Die Jahre der Verfolgung 1933 – 1939.</w:t>
      </w:r>
      <w:r>
        <w:t xml:space="preserve"> München 1998, Kap. 3, S. 87 – 128.</w:t>
      </w:r>
    </w:p>
  </w:footnote>
  <w:footnote w:id="17">
    <w:p w:rsidR="005066BF" w:rsidRDefault="005066BF" w:rsidP="00B8509C">
      <w:pPr>
        <w:spacing w:after="0" w:line="240" w:lineRule="auto"/>
      </w:pPr>
      <w:r>
        <w:rPr>
          <w:rStyle w:val="Funotenzeichen"/>
        </w:rPr>
        <w:footnoteRef/>
      </w:r>
      <w:r>
        <w:t xml:space="preserve"> „Die letzten Tage ihres spanischen Aufenthalts verbringen die Juden auf ihren Friedhöfen. Vor den Grabsteinen ihrer Ahnen nehmen sie Abschied von </w:t>
      </w:r>
      <w:proofErr w:type="spellStart"/>
      <w:r>
        <w:t>Hiberien</w:t>
      </w:r>
      <w:proofErr w:type="spellEnd"/>
      <w:r>
        <w:t>. Eine neue Welle der Traurigkeit überfällt sie. […] Manche Juden sind […] von den Begräbnisstätten nur mit Gewalt zu trennen. Sie versuchen, die Steine mitzunehmen, oder überlassen ihre Häuser als Preis für die Pflege der Gräber.“ (</w:t>
      </w:r>
      <w:r w:rsidRPr="00B8509C">
        <w:rPr>
          <w:i/>
        </w:rPr>
        <w:t>Vertreibung</w:t>
      </w:r>
      <w:r>
        <w:t xml:space="preserve">, S. </w:t>
      </w:r>
      <w:r w:rsidRPr="00B8509C">
        <w:t>190</w:t>
      </w:r>
      <w:r>
        <w:t xml:space="preserve">) </w:t>
      </w:r>
    </w:p>
  </w:footnote>
  <w:footnote w:id="18">
    <w:p w:rsidR="005066BF" w:rsidRPr="002E1945" w:rsidRDefault="005066BF">
      <w:pPr>
        <w:pStyle w:val="Funotentext"/>
      </w:pPr>
      <w:r>
        <w:rPr>
          <w:rStyle w:val="Funotenzeichen"/>
        </w:rPr>
        <w:footnoteRef/>
      </w:r>
      <w:r>
        <w:t xml:space="preserve"> </w:t>
      </w:r>
      <w:r>
        <w:rPr>
          <w:i/>
        </w:rPr>
        <w:t>Vertreibung</w:t>
      </w:r>
      <w:r>
        <w:t>, S. 26.</w:t>
      </w:r>
    </w:p>
  </w:footnote>
  <w:footnote w:id="19">
    <w:p w:rsidR="005066BF" w:rsidRPr="00692DD8" w:rsidRDefault="005066BF" w:rsidP="00C77225">
      <w:pPr>
        <w:pStyle w:val="Funotentext"/>
      </w:pPr>
      <w:r>
        <w:rPr>
          <w:rStyle w:val="Funotenzeichen"/>
        </w:rPr>
        <w:footnoteRef/>
      </w:r>
      <w:r>
        <w:t xml:space="preserve"> Ebd., S. 12. </w:t>
      </w:r>
    </w:p>
  </w:footnote>
  <w:footnote w:id="20">
    <w:p w:rsidR="005066BF" w:rsidRDefault="005066BF">
      <w:pPr>
        <w:pStyle w:val="Funotentext"/>
      </w:pPr>
      <w:r>
        <w:rPr>
          <w:rStyle w:val="Funotenzeichen"/>
        </w:rPr>
        <w:footnoteRef/>
      </w:r>
      <w:r>
        <w:t xml:space="preserve"> S. 12 f.</w:t>
      </w:r>
    </w:p>
  </w:footnote>
  <w:footnote w:id="21">
    <w:p w:rsidR="005066BF" w:rsidRDefault="005066BF">
      <w:pPr>
        <w:pStyle w:val="Funotentext"/>
      </w:pPr>
      <w:r>
        <w:rPr>
          <w:rStyle w:val="Funotenzeichen"/>
        </w:rPr>
        <w:footnoteRef/>
      </w:r>
      <w:r>
        <w:t xml:space="preserve"> S. 13. Hervorhebung F.T.</w:t>
      </w:r>
    </w:p>
  </w:footnote>
  <w:footnote w:id="22">
    <w:p w:rsidR="005066BF" w:rsidRDefault="005066BF">
      <w:pPr>
        <w:pStyle w:val="Funotentext"/>
      </w:pPr>
      <w:r>
        <w:rPr>
          <w:rStyle w:val="Funotenzeichen"/>
        </w:rPr>
        <w:footnoteRef/>
      </w:r>
      <w:r>
        <w:t xml:space="preserve"> Ebd.</w:t>
      </w:r>
    </w:p>
  </w:footnote>
  <w:footnote w:id="23">
    <w:p w:rsidR="005066BF" w:rsidRDefault="005066BF">
      <w:pPr>
        <w:pStyle w:val="Funotentext"/>
      </w:pPr>
      <w:r>
        <w:rPr>
          <w:rStyle w:val="Funotenzeichen"/>
        </w:rPr>
        <w:footnoteRef/>
      </w:r>
      <w:r>
        <w:t xml:space="preserve"> S. 14.</w:t>
      </w:r>
    </w:p>
  </w:footnote>
  <w:footnote w:id="24">
    <w:p w:rsidR="005066BF" w:rsidRDefault="005066BF">
      <w:pPr>
        <w:pStyle w:val="Funotentext"/>
      </w:pPr>
      <w:r>
        <w:rPr>
          <w:rStyle w:val="Funotenzeichen"/>
        </w:rPr>
        <w:footnoteRef/>
      </w:r>
      <w:r>
        <w:t xml:space="preserve"> S. 15.</w:t>
      </w:r>
    </w:p>
  </w:footnote>
  <w:footnote w:id="25">
    <w:p w:rsidR="005066BF" w:rsidRDefault="005066BF">
      <w:pPr>
        <w:pStyle w:val="Funotentext"/>
      </w:pPr>
      <w:r>
        <w:rPr>
          <w:rStyle w:val="Funotenzeichen"/>
        </w:rPr>
        <w:footnoteRef/>
      </w:r>
      <w:r>
        <w:t xml:space="preserve"> Ebd. – Hervorhebung F.T.</w:t>
      </w:r>
    </w:p>
  </w:footnote>
  <w:footnote w:id="26">
    <w:p w:rsidR="005066BF" w:rsidRDefault="005066BF" w:rsidP="007F28F4">
      <w:pPr>
        <w:spacing w:after="0" w:line="240" w:lineRule="auto"/>
      </w:pPr>
      <w:r>
        <w:rPr>
          <w:rStyle w:val="Funotenzeichen"/>
        </w:rPr>
        <w:footnoteRef/>
      </w:r>
      <w:r>
        <w:t xml:space="preserve"> „Die Juden zahlten jeden Tag Eintrittspreise, um Spanien sehen zu dürfen. Sie zahlten Kopfsteuer, direkte und indirekte Kollektivsteuer, Wegsteuer. Sie zahlten höhere Ausfuhr- und Handelsabgaben als die Christen, sie zahlten hohe Prozente von ihren Kreditgeschäften, sie entrichteten in manchen Gemeinden noch Naturalabgaben und waren zur Quartierpflicht gezwungen. Zu alledem kam oft noch eine besondere Abgabe in Höhe von dreißig </w:t>
      </w:r>
      <w:proofErr w:type="spellStart"/>
      <w:r>
        <w:t>Denari</w:t>
      </w:r>
      <w:proofErr w:type="spellEnd"/>
      <w:r>
        <w:t xml:space="preserve"> als ‚Rückzahlung‘ der dreißig Silberlinge, die einer der ihren einst genommen haben soll.“ (S. 29)</w:t>
      </w:r>
    </w:p>
  </w:footnote>
  <w:footnote w:id="27">
    <w:p w:rsidR="005066BF" w:rsidRDefault="005066BF">
      <w:pPr>
        <w:pStyle w:val="Funotentext"/>
      </w:pPr>
      <w:r>
        <w:rPr>
          <w:rStyle w:val="Funotenzeichen"/>
        </w:rPr>
        <w:footnoteRef/>
      </w:r>
      <w:r>
        <w:t xml:space="preserve"> </w:t>
      </w:r>
      <w:r w:rsidRPr="007F28F4">
        <w:rPr>
          <w:i/>
        </w:rPr>
        <w:t>Vertreibung</w:t>
      </w:r>
      <w:r>
        <w:t>, S. 31.</w:t>
      </w:r>
    </w:p>
  </w:footnote>
  <w:footnote w:id="28">
    <w:p w:rsidR="005066BF" w:rsidRDefault="005066BF">
      <w:pPr>
        <w:pStyle w:val="Funotentext"/>
      </w:pPr>
      <w:r>
        <w:rPr>
          <w:rStyle w:val="Funotenzeichen"/>
        </w:rPr>
        <w:footnoteRef/>
      </w:r>
      <w:r>
        <w:t xml:space="preserve"> S. 31 f.</w:t>
      </w:r>
    </w:p>
  </w:footnote>
  <w:footnote w:id="29">
    <w:p w:rsidR="005066BF" w:rsidRDefault="005066BF">
      <w:pPr>
        <w:pStyle w:val="Funotentext"/>
      </w:pPr>
      <w:r>
        <w:rPr>
          <w:rStyle w:val="Funotenzeichen"/>
        </w:rPr>
        <w:footnoteRef/>
      </w:r>
      <w:r>
        <w:t xml:space="preserve"> S. 32.</w:t>
      </w:r>
    </w:p>
  </w:footnote>
  <w:footnote w:id="30">
    <w:p w:rsidR="005066BF" w:rsidRDefault="005066BF">
      <w:pPr>
        <w:pStyle w:val="Funotentext"/>
      </w:pPr>
      <w:r>
        <w:rPr>
          <w:rStyle w:val="Funotenzeichen"/>
        </w:rPr>
        <w:footnoteRef/>
      </w:r>
      <w:r>
        <w:t xml:space="preserve"> S. 33.</w:t>
      </w:r>
    </w:p>
  </w:footnote>
  <w:footnote w:id="31">
    <w:p w:rsidR="005066BF" w:rsidRDefault="005066BF">
      <w:pPr>
        <w:pStyle w:val="Funotentext"/>
      </w:pPr>
      <w:r>
        <w:rPr>
          <w:rStyle w:val="Funotenzeichen"/>
        </w:rPr>
        <w:footnoteRef/>
      </w:r>
      <w:r>
        <w:t xml:space="preserve"> S. 33 f.</w:t>
      </w:r>
    </w:p>
  </w:footnote>
  <w:footnote w:id="32">
    <w:p w:rsidR="005066BF" w:rsidRDefault="005066BF">
      <w:pPr>
        <w:pStyle w:val="Funotentext"/>
      </w:pPr>
      <w:r>
        <w:rPr>
          <w:rStyle w:val="Funotenzeichen"/>
        </w:rPr>
        <w:footnoteRef/>
      </w:r>
      <w:r>
        <w:t xml:space="preserve"> S. 18.</w:t>
      </w:r>
    </w:p>
  </w:footnote>
  <w:footnote w:id="33">
    <w:p w:rsidR="005066BF" w:rsidRDefault="005066BF">
      <w:pPr>
        <w:pStyle w:val="Funotentext"/>
      </w:pPr>
      <w:r>
        <w:rPr>
          <w:rStyle w:val="Funotenzeichen"/>
        </w:rPr>
        <w:footnoteRef/>
      </w:r>
      <w:r>
        <w:t xml:space="preserve"> Ebd.</w:t>
      </w:r>
    </w:p>
  </w:footnote>
  <w:footnote w:id="34">
    <w:p w:rsidR="005066BF" w:rsidRDefault="005066BF">
      <w:pPr>
        <w:pStyle w:val="Funotentext"/>
      </w:pPr>
      <w:r>
        <w:rPr>
          <w:rStyle w:val="Funotenzeichen"/>
        </w:rPr>
        <w:footnoteRef/>
      </w:r>
      <w:r>
        <w:t xml:space="preserve"> S. 19.</w:t>
      </w:r>
    </w:p>
  </w:footnote>
  <w:footnote w:id="35">
    <w:p w:rsidR="005066BF" w:rsidRDefault="005066BF">
      <w:pPr>
        <w:pStyle w:val="Funotentext"/>
      </w:pPr>
      <w:r>
        <w:rPr>
          <w:rStyle w:val="Funotenzeichen"/>
        </w:rPr>
        <w:footnoteRef/>
      </w:r>
      <w:r>
        <w:t xml:space="preserve"> S. 22 f.</w:t>
      </w:r>
    </w:p>
  </w:footnote>
  <w:footnote w:id="36">
    <w:p w:rsidR="005066BF" w:rsidRDefault="005066BF">
      <w:pPr>
        <w:pStyle w:val="Funotentext"/>
      </w:pPr>
      <w:r>
        <w:rPr>
          <w:rStyle w:val="Funotenzeichen"/>
        </w:rPr>
        <w:footnoteRef/>
      </w:r>
      <w:r>
        <w:t xml:space="preserve"> S. 23.</w:t>
      </w:r>
    </w:p>
  </w:footnote>
  <w:footnote w:id="37">
    <w:p w:rsidR="005066BF" w:rsidRDefault="005066BF">
      <w:pPr>
        <w:pStyle w:val="Funotentext"/>
      </w:pPr>
      <w:r>
        <w:rPr>
          <w:rStyle w:val="Funotenzeichen"/>
        </w:rPr>
        <w:footnoteRef/>
      </w:r>
      <w:r>
        <w:t xml:space="preserve"> S. 25.</w:t>
      </w:r>
    </w:p>
  </w:footnote>
  <w:footnote w:id="38">
    <w:p w:rsidR="005066BF" w:rsidRDefault="005066BF">
      <w:pPr>
        <w:pStyle w:val="Funotentext"/>
      </w:pPr>
      <w:r>
        <w:rPr>
          <w:rStyle w:val="Funotenzeichen"/>
        </w:rPr>
        <w:footnoteRef/>
      </w:r>
      <w:r>
        <w:t xml:space="preserve"> Implizit macht </w:t>
      </w:r>
      <w:proofErr w:type="spellStart"/>
      <w:r>
        <w:t>Marcu</w:t>
      </w:r>
      <w:proofErr w:type="spellEnd"/>
      <w:r>
        <w:t xml:space="preserve"> also darauf aufmerksam, dass der Antijudaismus ein Produkt der Reconquista ist, denn mit dem Anwachsen des „Territoriums“ im Zuge der Reconquista vergrößerte sich auch der Antijudaismus.</w:t>
      </w:r>
    </w:p>
  </w:footnote>
  <w:footnote w:id="39">
    <w:p w:rsidR="005066BF" w:rsidRDefault="005066BF">
      <w:pPr>
        <w:pStyle w:val="Funotentext"/>
      </w:pPr>
      <w:r>
        <w:rPr>
          <w:rStyle w:val="Funotenzeichen"/>
        </w:rPr>
        <w:footnoteRef/>
      </w:r>
      <w:r>
        <w:t xml:space="preserve"> S. 26.</w:t>
      </w:r>
    </w:p>
  </w:footnote>
  <w:footnote w:id="40">
    <w:p w:rsidR="005066BF" w:rsidRDefault="005066BF">
      <w:pPr>
        <w:pStyle w:val="Funotentext"/>
      </w:pPr>
      <w:r>
        <w:rPr>
          <w:rStyle w:val="Funotenzeichen"/>
        </w:rPr>
        <w:footnoteRef/>
      </w:r>
      <w:r>
        <w:t xml:space="preserve"> S. 95. Hervorhebung F.T.</w:t>
      </w:r>
    </w:p>
  </w:footnote>
  <w:footnote w:id="41">
    <w:p w:rsidR="005066BF" w:rsidRDefault="005066BF">
      <w:pPr>
        <w:pStyle w:val="Funotentext"/>
      </w:pPr>
      <w:r>
        <w:rPr>
          <w:rStyle w:val="Funotenzeichen"/>
        </w:rPr>
        <w:footnoteRef/>
      </w:r>
      <w:r>
        <w:t xml:space="preserve"> Im Spanischen bedeutet „</w:t>
      </w:r>
      <w:proofErr w:type="spellStart"/>
      <w:r>
        <w:t>marrano</w:t>
      </w:r>
      <w:proofErr w:type="spellEnd"/>
      <w:r>
        <w:t>“ „Schwein“. Die Bezeichnung „</w:t>
      </w:r>
      <w:proofErr w:type="spellStart"/>
      <w:r>
        <w:t>Marrano</w:t>
      </w:r>
      <w:proofErr w:type="spellEnd"/>
      <w:r>
        <w:t>“ kann jedoch auch vom spanischen Verb „</w:t>
      </w:r>
      <w:proofErr w:type="spellStart"/>
      <w:r>
        <w:t>marrar</w:t>
      </w:r>
      <w:proofErr w:type="spellEnd"/>
      <w:r>
        <w:t xml:space="preserve"> (irren, verfehlen)“ abgeleitet sein und hat dann die Bedeutung von „Abtrünniger, Renegat“. – Vgl</w:t>
      </w:r>
      <w:r w:rsidRPr="00AF0AEF">
        <w:t xml:space="preserve">. </w:t>
      </w:r>
      <w:hyperlink r:id="rId1" w:history="1">
        <w:r w:rsidRPr="00AF0AEF">
          <w:rPr>
            <w:rStyle w:val="Hyperlink"/>
            <w:u w:val="none"/>
          </w:rPr>
          <w:t>http://de</w:t>
        </w:r>
      </w:hyperlink>
      <w:r>
        <w:t xml:space="preserve">. </w:t>
      </w:r>
      <w:proofErr w:type="spellStart"/>
      <w:r>
        <w:t>wikipedia</w:t>
      </w:r>
      <w:proofErr w:type="spellEnd"/>
      <w:r>
        <w:t xml:space="preserve">. </w:t>
      </w:r>
      <w:proofErr w:type="spellStart"/>
      <w:r>
        <w:t>org</w:t>
      </w:r>
      <w:proofErr w:type="spellEnd"/>
      <w:r>
        <w:t>/</w:t>
      </w:r>
      <w:proofErr w:type="spellStart"/>
      <w:r>
        <w:t>wiki</w:t>
      </w:r>
      <w:proofErr w:type="spellEnd"/>
      <w:r>
        <w:t>/Marranen. Zugriff am 19. April 2011.</w:t>
      </w:r>
    </w:p>
  </w:footnote>
  <w:footnote w:id="42">
    <w:p w:rsidR="005066BF" w:rsidRDefault="005066BF">
      <w:pPr>
        <w:pStyle w:val="Funotentext"/>
      </w:pPr>
      <w:r>
        <w:rPr>
          <w:rStyle w:val="Funotenzeichen"/>
        </w:rPr>
        <w:footnoteRef/>
      </w:r>
      <w:r>
        <w:t xml:space="preserve"> </w:t>
      </w:r>
      <w:r w:rsidRPr="002A32AD">
        <w:t>Vertreibung</w:t>
      </w:r>
      <w:r>
        <w:t xml:space="preserve">, </w:t>
      </w:r>
      <w:r w:rsidRPr="002A32AD">
        <w:t>S</w:t>
      </w:r>
      <w:r>
        <w:t>. 95 f.</w:t>
      </w:r>
    </w:p>
  </w:footnote>
  <w:footnote w:id="43">
    <w:p w:rsidR="005066BF" w:rsidRDefault="005066BF">
      <w:pPr>
        <w:pStyle w:val="Funotentext"/>
      </w:pPr>
      <w:r>
        <w:rPr>
          <w:rStyle w:val="Funotenzeichen"/>
        </w:rPr>
        <w:footnoteRef/>
      </w:r>
      <w:r>
        <w:t xml:space="preserve"> Führt man sich vor Augen, dass </w:t>
      </w:r>
      <w:proofErr w:type="spellStart"/>
      <w:r>
        <w:t>Marcu</w:t>
      </w:r>
      <w:proofErr w:type="spellEnd"/>
      <w:r>
        <w:t xml:space="preserve"> genaueste Kenntnisse der Zwangsrituale der KP, also von Kritik und Selbstkritik, hatte, ist man geneigt, seine Beschreibung der Inquisition auch auf die innerparteilichen Untersuchungsverfahren der kommunistischen Parteien zu beziehen.</w:t>
      </w:r>
    </w:p>
  </w:footnote>
  <w:footnote w:id="44">
    <w:p w:rsidR="005066BF" w:rsidRDefault="005066BF">
      <w:pPr>
        <w:pStyle w:val="Funotentext"/>
      </w:pPr>
      <w:r>
        <w:rPr>
          <w:rStyle w:val="Funotenzeichen"/>
        </w:rPr>
        <w:footnoteRef/>
      </w:r>
      <w:r>
        <w:t xml:space="preserve"> S. 111 f.</w:t>
      </w:r>
    </w:p>
  </w:footnote>
  <w:footnote w:id="45">
    <w:p w:rsidR="005066BF" w:rsidRDefault="005066BF">
      <w:pPr>
        <w:pStyle w:val="Funotentext"/>
      </w:pPr>
      <w:r>
        <w:rPr>
          <w:rStyle w:val="Funotenzeichen"/>
        </w:rPr>
        <w:footnoteRef/>
      </w:r>
      <w:r>
        <w:t xml:space="preserve"> S. 112.</w:t>
      </w:r>
    </w:p>
  </w:footnote>
  <w:footnote w:id="46">
    <w:p w:rsidR="005066BF" w:rsidRDefault="005066BF">
      <w:pPr>
        <w:pStyle w:val="Funotentext"/>
      </w:pPr>
      <w:r>
        <w:rPr>
          <w:rStyle w:val="Funotenzeichen"/>
        </w:rPr>
        <w:footnoteRef/>
      </w:r>
      <w:r>
        <w:t xml:space="preserve"> Ebd.</w:t>
      </w:r>
    </w:p>
  </w:footnote>
  <w:footnote w:id="47">
    <w:p w:rsidR="005066BF" w:rsidRDefault="005066BF">
      <w:pPr>
        <w:pStyle w:val="Funotentext"/>
      </w:pPr>
      <w:r>
        <w:rPr>
          <w:rStyle w:val="Funotenzeichen"/>
        </w:rPr>
        <w:footnoteRef/>
      </w:r>
      <w:r>
        <w:t xml:space="preserve"> S. 112 f.</w:t>
      </w:r>
    </w:p>
  </w:footnote>
  <w:footnote w:id="48">
    <w:p w:rsidR="005066BF" w:rsidRDefault="005066BF">
      <w:pPr>
        <w:pStyle w:val="Funotentext"/>
      </w:pPr>
      <w:r>
        <w:rPr>
          <w:rStyle w:val="Funotenzeichen"/>
        </w:rPr>
        <w:footnoteRef/>
      </w:r>
      <w:r>
        <w:t xml:space="preserve"> S. 113.</w:t>
      </w:r>
    </w:p>
  </w:footnote>
  <w:footnote w:id="49">
    <w:p w:rsidR="005066BF" w:rsidRDefault="005066BF">
      <w:pPr>
        <w:pStyle w:val="Funotentext"/>
      </w:pPr>
      <w:r>
        <w:rPr>
          <w:rStyle w:val="Funotenzeichen"/>
        </w:rPr>
        <w:footnoteRef/>
      </w:r>
      <w:r>
        <w:t xml:space="preserve"> S. 125.</w:t>
      </w:r>
    </w:p>
  </w:footnote>
  <w:footnote w:id="50">
    <w:p w:rsidR="005066BF" w:rsidRDefault="005066BF">
      <w:pPr>
        <w:pStyle w:val="Funotentext"/>
      </w:pPr>
      <w:r>
        <w:rPr>
          <w:rStyle w:val="Funotenzeichen"/>
        </w:rPr>
        <w:footnoteRef/>
      </w:r>
      <w:r>
        <w:t xml:space="preserve"> S. 122.</w:t>
      </w:r>
    </w:p>
  </w:footnote>
  <w:footnote w:id="51">
    <w:p w:rsidR="005066BF" w:rsidRDefault="005066BF">
      <w:pPr>
        <w:pStyle w:val="Funotentext"/>
      </w:pPr>
      <w:r>
        <w:rPr>
          <w:rStyle w:val="Funotenzeichen"/>
        </w:rPr>
        <w:footnoteRef/>
      </w:r>
      <w:r>
        <w:t xml:space="preserve"> S. 177.</w:t>
      </w:r>
      <w:r w:rsidR="00A36304">
        <w:t xml:space="preserve"> – Es drängt sich an dieser Stelle der </w:t>
      </w:r>
      <w:r w:rsidR="00A352A1">
        <w:t>Bezug zur</w:t>
      </w:r>
      <w:r w:rsidR="00A36304">
        <w:t xml:space="preserve"> „Entjudung“ der Wirtschaft</w:t>
      </w:r>
      <w:r w:rsidR="00A352A1">
        <w:t xml:space="preserve"> durch den Nationalsozialismus und die De facto-Einziehung des jüdischen Händen befindlichen Besitzes an Kapital- und Devisenbesitz  auf.</w:t>
      </w:r>
    </w:p>
  </w:footnote>
  <w:footnote w:id="52">
    <w:p w:rsidR="005066BF" w:rsidRDefault="005066BF">
      <w:pPr>
        <w:pStyle w:val="Funotentext"/>
      </w:pPr>
      <w:r>
        <w:rPr>
          <w:rStyle w:val="Funotenzeichen"/>
        </w:rPr>
        <w:footnoteRef/>
      </w:r>
      <w:r>
        <w:t xml:space="preserve"> S. 178.</w:t>
      </w:r>
    </w:p>
  </w:footnote>
  <w:footnote w:id="53">
    <w:p w:rsidR="005066BF" w:rsidRDefault="005066BF">
      <w:pPr>
        <w:pStyle w:val="Funotentext"/>
      </w:pPr>
      <w:r>
        <w:rPr>
          <w:rStyle w:val="Funotenzeichen"/>
        </w:rPr>
        <w:footnoteRef/>
      </w:r>
      <w:r>
        <w:t xml:space="preserve"> S. 181.</w:t>
      </w:r>
    </w:p>
  </w:footnote>
  <w:footnote w:id="54">
    <w:p w:rsidR="005066BF" w:rsidRDefault="005066BF">
      <w:pPr>
        <w:pStyle w:val="Funotentext"/>
      </w:pPr>
      <w:r>
        <w:rPr>
          <w:rStyle w:val="Funotenzeichen"/>
        </w:rPr>
        <w:footnoteRef/>
      </w:r>
      <w:r>
        <w:t xml:space="preserve"> S. 182 f.</w:t>
      </w:r>
    </w:p>
  </w:footnote>
  <w:footnote w:id="55">
    <w:p w:rsidR="005066BF" w:rsidRDefault="005066BF">
      <w:pPr>
        <w:pStyle w:val="Funotentext"/>
      </w:pPr>
      <w:r>
        <w:rPr>
          <w:rStyle w:val="Funotenzeichen"/>
        </w:rPr>
        <w:footnoteRef/>
      </w:r>
      <w:r>
        <w:t xml:space="preserve"> S. 183.</w:t>
      </w:r>
      <w:r w:rsidR="00A352A1">
        <w:t xml:space="preserve"> </w:t>
      </w:r>
    </w:p>
  </w:footnote>
  <w:footnote w:id="56">
    <w:p w:rsidR="005066BF" w:rsidRDefault="005066BF">
      <w:pPr>
        <w:pStyle w:val="Funotentext"/>
      </w:pPr>
      <w:r>
        <w:rPr>
          <w:rStyle w:val="Funotenzeichen"/>
        </w:rPr>
        <w:footnoteRef/>
      </w:r>
      <w:r>
        <w:t xml:space="preserve"> S. 183.</w:t>
      </w:r>
    </w:p>
  </w:footnote>
  <w:footnote w:id="57">
    <w:p w:rsidR="005066BF" w:rsidRDefault="005066BF">
      <w:pPr>
        <w:pStyle w:val="Funotentext"/>
      </w:pPr>
      <w:r>
        <w:rPr>
          <w:rStyle w:val="Funotenzeichen"/>
        </w:rPr>
        <w:footnoteRef/>
      </w:r>
      <w:r>
        <w:t xml:space="preserve"> S. 184 – 197.</w:t>
      </w:r>
    </w:p>
  </w:footnote>
  <w:footnote w:id="58">
    <w:p w:rsidR="005066BF" w:rsidRDefault="005066BF">
      <w:pPr>
        <w:pStyle w:val="Funotentext"/>
      </w:pPr>
      <w:r>
        <w:rPr>
          <w:rStyle w:val="Funotenzeichen"/>
        </w:rPr>
        <w:footnoteRef/>
      </w:r>
      <w:r>
        <w:t xml:space="preserve"> S. 196.</w:t>
      </w:r>
    </w:p>
  </w:footnote>
  <w:footnote w:id="59">
    <w:p w:rsidR="005066BF" w:rsidRDefault="005066BF">
      <w:pPr>
        <w:pStyle w:val="Funotentext"/>
      </w:pPr>
      <w:r>
        <w:rPr>
          <w:rStyle w:val="Funotenzeichen"/>
        </w:rPr>
        <w:footnoteRef/>
      </w:r>
      <w:r>
        <w:t xml:space="preserve"> S. 197. Hervorhebung F.T.</w:t>
      </w:r>
    </w:p>
  </w:footnote>
  <w:footnote w:id="60">
    <w:p w:rsidR="005066BF" w:rsidRDefault="005066BF">
      <w:pPr>
        <w:pStyle w:val="Funotentext"/>
      </w:pPr>
      <w:r>
        <w:rPr>
          <w:rStyle w:val="Funotenzeichen"/>
        </w:rPr>
        <w:footnoteRef/>
      </w:r>
      <w:r>
        <w:t xml:space="preserve"> </w:t>
      </w:r>
      <w:r w:rsidRPr="00373D5D">
        <w:t xml:space="preserve">Scholems Brief ist abgedruckt in: Hannah Arendt: </w:t>
      </w:r>
      <w:r w:rsidRPr="00373D5D">
        <w:rPr>
          <w:i/>
        </w:rPr>
        <w:t>Nach Auschwitz.</w:t>
      </w:r>
      <w:r w:rsidRPr="00373D5D">
        <w:t xml:space="preserve"> Essays &amp; Kommentare 1. Hrsg. von Eike Geisel u. Klaus Bittermann. Berlin 1989, S. 64.</w:t>
      </w:r>
      <w:r>
        <w:t xml:space="preserve"> Hervorhebung F.T.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35"/>
      <w:docPartObj>
        <w:docPartGallery w:val="Page Numbers (Top of Page)"/>
        <w:docPartUnique/>
      </w:docPartObj>
    </w:sdtPr>
    <w:sdtContent>
      <w:p w:rsidR="005066BF" w:rsidRDefault="00C85D19">
        <w:pPr>
          <w:pStyle w:val="Kopfzeile"/>
          <w:jc w:val="right"/>
        </w:pPr>
        <w:fldSimple w:instr=" PAGE   \* MERGEFORMAT ">
          <w:r w:rsidR="00D12810">
            <w:rPr>
              <w:noProof/>
            </w:rPr>
            <w:t>4</w:t>
          </w:r>
        </w:fldSimple>
      </w:p>
    </w:sdtContent>
  </w:sdt>
  <w:p w:rsidR="005066BF" w:rsidRDefault="005066B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footnotePr>
    <w:footnote w:id="-1"/>
    <w:footnote w:id="0"/>
  </w:footnotePr>
  <w:endnotePr>
    <w:endnote w:id="-1"/>
    <w:endnote w:id="0"/>
  </w:endnotePr>
  <w:compat/>
  <w:rsids>
    <w:rsidRoot w:val="000E60D7"/>
    <w:rsid w:val="000037F7"/>
    <w:rsid w:val="000070C6"/>
    <w:rsid w:val="000128E3"/>
    <w:rsid w:val="000147D2"/>
    <w:rsid w:val="00014D8B"/>
    <w:rsid w:val="0002391D"/>
    <w:rsid w:val="00030CEF"/>
    <w:rsid w:val="00034AEE"/>
    <w:rsid w:val="00035F62"/>
    <w:rsid w:val="00040A3A"/>
    <w:rsid w:val="000500C7"/>
    <w:rsid w:val="00055ED9"/>
    <w:rsid w:val="00062F9D"/>
    <w:rsid w:val="00073C0A"/>
    <w:rsid w:val="00082A8A"/>
    <w:rsid w:val="00083171"/>
    <w:rsid w:val="0008738F"/>
    <w:rsid w:val="00094C75"/>
    <w:rsid w:val="000A0056"/>
    <w:rsid w:val="000A0D5D"/>
    <w:rsid w:val="000A1E4D"/>
    <w:rsid w:val="000A5CA5"/>
    <w:rsid w:val="000A71B1"/>
    <w:rsid w:val="000C6F1E"/>
    <w:rsid w:val="000D1F0C"/>
    <w:rsid w:val="000D3256"/>
    <w:rsid w:val="000E60D7"/>
    <w:rsid w:val="000E6B3D"/>
    <w:rsid w:val="000F06C2"/>
    <w:rsid w:val="000F118E"/>
    <w:rsid w:val="000F7313"/>
    <w:rsid w:val="00107178"/>
    <w:rsid w:val="00107622"/>
    <w:rsid w:val="00132C9C"/>
    <w:rsid w:val="00144840"/>
    <w:rsid w:val="001700E2"/>
    <w:rsid w:val="00181150"/>
    <w:rsid w:val="00194815"/>
    <w:rsid w:val="00197A5F"/>
    <w:rsid w:val="001A514D"/>
    <w:rsid w:val="001A7C81"/>
    <w:rsid w:val="001B5C18"/>
    <w:rsid w:val="001C09C0"/>
    <w:rsid w:val="001C198B"/>
    <w:rsid w:val="001F0249"/>
    <w:rsid w:val="001F3B6F"/>
    <w:rsid w:val="0021631D"/>
    <w:rsid w:val="00216C86"/>
    <w:rsid w:val="00250899"/>
    <w:rsid w:val="00251C91"/>
    <w:rsid w:val="00256D2F"/>
    <w:rsid w:val="00260647"/>
    <w:rsid w:val="0026308F"/>
    <w:rsid w:val="002667F8"/>
    <w:rsid w:val="00274C3A"/>
    <w:rsid w:val="00274D28"/>
    <w:rsid w:val="00285CB3"/>
    <w:rsid w:val="002A07C3"/>
    <w:rsid w:val="002A32AD"/>
    <w:rsid w:val="002A5EE0"/>
    <w:rsid w:val="002B2AEC"/>
    <w:rsid w:val="002B2D46"/>
    <w:rsid w:val="002B4962"/>
    <w:rsid w:val="002C2658"/>
    <w:rsid w:val="002C4352"/>
    <w:rsid w:val="002C74EB"/>
    <w:rsid w:val="002E1945"/>
    <w:rsid w:val="002F73EC"/>
    <w:rsid w:val="00300D83"/>
    <w:rsid w:val="0030160C"/>
    <w:rsid w:val="00302186"/>
    <w:rsid w:val="00304F9D"/>
    <w:rsid w:val="00307465"/>
    <w:rsid w:val="00320994"/>
    <w:rsid w:val="003309BB"/>
    <w:rsid w:val="00331978"/>
    <w:rsid w:val="0033457A"/>
    <w:rsid w:val="00341E80"/>
    <w:rsid w:val="0034252F"/>
    <w:rsid w:val="00345F68"/>
    <w:rsid w:val="003470CD"/>
    <w:rsid w:val="003539E7"/>
    <w:rsid w:val="00364D00"/>
    <w:rsid w:val="00373D5D"/>
    <w:rsid w:val="003749F0"/>
    <w:rsid w:val="00397A79"/>
    <w:rsid w:val="003A7EAE"/>
    <w:rsid w:val="003C0A11"/>
    <w:rsid w:val="003C297D"/>
    <w:rsid w:val="003C4FB8"/>
    <w:rsid w:val="003D2377"/>
    <w:rsid w:val="003E6973"/>
    <w:rsid w:val="003E7160"/>
    <w:rsid w:val="003F046F"/>
    <w:rsid w:val="003F21F1"/>
    <w:rsid w:val="003F4B07"/>
    <w:rsid w:val="003F58FE"/>
    <w:rsid w:val="00404443"/>
    <w:rsid w:val="00425640"/>
    <w:rsid w:val="0043422D"/>
    <w:rsid w:val="00435243"/>
    <w:rsid w:val="00437949"/>
    <w:rsid w:val="00456732"/>
    <w:rsid w:val="00471FF7"/>
    <w:rsid w:val="00480126"/>
    <w:rsid w:val="00487D39"/>
    <w:rsid w:val="00494EF8"/>
    <w:rsid w:val="0049664A"/>
    <w:rsid w:val="00497C32"/>
    <w:rsid w:val="004A4569"/>
    <w:rsid w:val="004B4FE0"/>
    <w:rsid w:val="004C2F4C"/>
    <w:rsid w:val="004C32A3"/>
    <w:rsid w:val="004E5CBD"/>
    <w:rsid w:val="004E789E"/>
    <w:rsid w:val="004F5D10"/>
    <w:rsid w:val="005016B5"/>
    <w:rsid w:val="005066BF"/>
    <w:rsid w:val="0052402D"/>
    <w:rsid w:val="005309BA"/>
    <w:rsid w:val="005351B3"/>
    <w:rsid w:val="00536160"/>
    <w:rsid w:val="0054454C"/>
    <w:rsid w:val="00552DF9"/>
    <w:rsid w:val="005652C5"/>
    <w:rsid w:val="00567219"/>
    <w:rsid w:val="00580EED"/>
    <w:rsid w:val="005935DD"/>
    <w:rsid w:val="005A5BD5"/>
    <w:rsid w:val="005D11CF"/>
    <w:rsid w:val="005D73DA"/>
    <w:rsid w:val="005F0DB1"/>
    <w:rsid w:val="005F118B"/>
    <w:rsid w:val="005F7004"/>
    <w:rsid w:val="00600366"/>
    <w:rsid w:val="006063C4"/>
    <w:rsid w:val="00633E32"/>
    <w:rsid w:val="00635DF4"/>
    <w:rsid w:val="00636FCB"/>
    <w:rsid w:val="00637EE9"/>
    <w:rsid w:val="006434D4"/>
    <w:rsid w:val="00644222"/>
    <w:rsid w:val="00656FD3"/>
    <w:rsid w:val="00663E31"/>
    <w:rsid w:val="00670200"/>
    <w:rsid w:val="00673926"/>
    <w:rsid w:val="00677691"/>
    <w:rsid w:val="00683DE4"/>
    <w:rsid w:val="00683F7C"/>
    <w:rsid w:val="00692DD8"/>
    <w:rsid w:val="006978C9"/>
    <w:rsid w:val="006A2476"/>
    <w:rsid w:val="006B1C54"/>
    <w:rsid w:val="006C615E"/>
    <w:rsid w:val="006D09F5"/>
    <w:rsid w:val="006D7290"/>
    <w:rsid w:val="006D77D9"/>
    <w:rsid w:val="006F3729"/>
    <w:rsid w:val="0070094F"/>
    <w:rsid w:val="00704B6D"/>
    <w:rsid w:val="00717FEC"/>
    <w:rsid w:val="00721647"/>
    <w:rsid w:val="0072635F"/>
    <w:rsid w:val="00731034"/>
    <w:rsid w:val="007422D6"/>
    <w:rsid w:val="00746EE7"/>
    <w:rsid w:val="007515B3"/>
    <w:rsid w:val="007572D9"/>
    <w:rsid w:val="00763C2B"/>
    <w:rsid w:val="00786DD2"/>
    <w:rsid w:val="00791DA2"/>
    <w:rsid w:val="007951ED"/>
    <w:rsid w:val="007A6485"/>
    <w:rsid w:val="007C74FB"/>
    <w:rsid w:val="007F28F4"/>
    <w:rsid w:val="00802722"/>
    <w:rsid w:val="00805342"/>
    <w:rsid w:val="00807806"/>
    <w:rsid w:val="008230A1"/>
    <w:rsid w:val="00831222"/>
    <w:rsid w:val="00837BBC"/>
    <w:rsid w:val="0084084A"/>
    <w:rsid w:val="00852559"/>
    <w:rsid w:val="00860AAA"/>
    <w:rsid w:val="008643F5"/>
    <w:rsid w:val="00884853"/>
    <w:rsid w:val="00893D5E"/>
    <w:rsid w:val="00896DD6"/>
    <w:rsid w:val="008C5241"/>
    <w:rsid w:val="008C64DE"/>
    <w:rsid w:val="008E2896"/>
    <w:rsid w:val="008E5974"/>
    <w:rsid w:val="008E7D59"/>
    <w:rsid w:val="008F42F2"/>
    <w:rsid w:val="008F4627"/>
    <w:rsid w:val="00902361"/>
    <w:rsid w:val="00905135"/>
    <w:rsid w:val="00907386"/>
    <w:rsid w:val="00911A6C"/>
    <w:rsid w:val="00913151"/>
    <w:rsid w:val="00916C16"/>
    <w:rsid w:val="00923AEE"/>
    <w:rsid w:val="00931869"/>
    <w:rsid w:val="00936AE4"/>
    <w:rsid w:val="009370CA"/>
    <w:rsid w:val="009420D7"/>
    <w:rsid w:val="009560D8"/>
    <w:rsid w:val="00965F47"/>
    <w:rsid w:val="00973BAE"/>
    <w:rsid w:val="00976183"/>
    <w:rsid w:val="00977199"/>
    <w:rsid w:val="009836A3"/>
    <w:rsid w:val="00984D39"/>
    <w:rsid w:val="00992F79"/>
    <w:rsid w:val="00993886"/>
    <w:rsid w:val="00995C5A"/>
    <w:rsid w:val="009A0138"/>
    <w:rsid w:val="009A4BA4"/>
    <w:rsid w:val="009B1BB9"/>
    <w:rsid w:val="009B70E8"/>
    <w:rsid w:val="009C0E02"/>
    <w:rsid w:val="009C2B6F"/>
    <w:rsid w:val="009C59F1"/>
    <w:rsid w:val="009C5C9F"/>
    <w:rsid w:val="009C63D2"/>
    <w:rsid w:val="009C72B4"/>
    <w:rsid w:val="009E0DCB"/>
    <w:rsid w:val="009E24A6"/>
    <w:rsid w:val="009E6A2A"/>
    <w:rsid w:val="009F5EC0"/>
    <w:rsid w:val="009F7236"/>
    <w:rsid w:val="00A040B5"/>
    <w:rsid w:val="00A12276"/>
    <w:rsid w:val="00A12576"/>
    <w:rsid w:val="00A21B66"/>
    <w:rsid w:val="00A3180B"/>
    <w:rsid w:val="00A31DD6"/>
    <w:rsid w:val="00A352A1"/>
    <w:rsid w:val="00A36304"/>
    <w:rsid w:val="00A36928"/>
    <w:rsid w:val="00A44412"/>
    <w:rsid w:val="00A57653"/>
    <w:rsid w:val="00A65189"/>
    <w:rsid w:val="00A65E88"/>
    <w:rsid w:val="00A73C31"/>
    <w:rsid w:val="00A87B40"/>
    <w:rsid w:val="00AB07D1"/>
    <w:rsid w:val="00AC5A67"/>
    <w:rsid w:val="00AC6B96"/>
    <w:rsid w:val="00AF0AEF"/>
    <w:rsid w:val="00B10665"/>
    <w:rsid w:val="00B11249"/>
    <w:rsid w:val="00B11841"/>
    <w:rsid w:val="00B118C3"/>
    <w:rsid w:val="00B124A6"/>
    <w:rsid w:val="00B16883"/>
    <w:rsid w:val="00B21109"/>
    <w:rsid w:val="00B33828"/>
    <w:rsid w:val="00B40CCD"/>
    <w:rsid w:val="00B434B2"/>
    <w:rsid w:val="00B53A96"/>
    <w:rsid w:val="00B54345"/>
    <w:rsid w:val="00B633E6"/>
    <w:rsid w:val="00B753DC"/>
    <w:rsid w:val="00B8509C"/>
    <w:rsid w:val="00B9596E"/>
    <w:rsid w:val="00BB337B"/>
    <w:rsid w:val="00BB34B1"/>
    <w:rsid w:val="00BC4F95"/>
    <w:rsid w:val="00BD4A4D"/>
    <w:rsid w:val="00BE0037"/>
    <w:rsid w:val="00BE14EC"/>
    <w:rsid w:val="00BE4EA0"/>
    <w:rsid w:val="00BE5500"/>
    <w:rsid w:val="00BF6B7D"/>
    <w:rsid w:val="00C34042"/>
    <w:rsid w:val="00C3503A"/>
    <w:rsid w:val="00C53FEF"/>
    <w:rsid w:val="00C62FA9"/>
    <w:rsid w:val="00C67D71"/>
    <w:rsid w:val="00C75B3A"/>
    <w:rsid w:val="00C77225"/>
    <w:rsid w:val="00C80496"/>
    <w:rsid w:val="00C837C8"/>
    <w:rsid w:val="00C85D19"/>
    <w:rsid w:val="00C8692D"/>
    <w:rsid w:val="00C91DB9"/>
    <w:rsid w:val="00C939E4"/>
    <w:rsid w:val="00C939F0"/>
    <w:rsid w:val="00CA354C"/>
    <w:rsid w:val="00CA3886"/>
    <w:rsid w:val="00CA621E"/>
    <w:rsid w:val="00CB50CC"/>
    <w:rsid w:val="00CC2801"/>
    <w:rsid w:val="00CC40D6"/>
    <w:rsid w:val="00CF7B55"/>
    <w:rsid w:val="00D0104A"/>
    <w:rsid w:val="00D12810"/>
    <w:rsid w:val="00D13F3D"/>
    <w:rsid w:val="00D335FB"/>
    <w:rsid w:val="00D469CE"/>
    <w:rsid w:val="00D503D1"/>
    <w:rsid w:val="00D60982"/>
    <w:rsid w:val="00D648C5"/>
    <w:rsid w:val="00DB6AD5"/>
    <w:rsid w:val="00DD725F"/>
    <w:rsid w:val="00DE6BEE"/>
    <w:rsid w:val="00E005B9"/>
    <w:rsid w:val="00E07CA0"/>
    <w:rsid w:val="00E101F1"/>
    <w:rsid w:val="00E12E1A"/>
    <w:rsid w:val="00E12FCE"/>
    <w:rsid w:val="00E233E3"/>
    <w:rsid w:val="00E27C0F"/>
    <w:rsid w:val="00E3761C"/>
    <w:rsid w:val="00E442E1"/>
    <w:rsid w:val="00E706B8"/>
    <w:rsid w:val="00E752F4"/>
    <w:rsid w:val="00E90DBA"/>
    <w:rsid w:val="00EA4B6B"/>
    <w:rsid w:val="00EB11B9"/>
    <w:rsid w:val="00EC31D6"/>
    <w:rsid w:val="00ED188B"/>
    <w:rsid w:val="00ED799B"/>
    <w:rsid w:val="00EE1DEF"/>
    <w:rsid w:val="00EE7C58"/>
    <w:rsid w:val="00F01F27"/>
    <w:rsid w:val="00F04930"/>
    <w:rsid w:val="00F04B7F"/>
    <w:rsid w:val="00F1050C"/>
    <w:rsid w:val="00F114B0"/>
    <w:rsid w:val="00F229BB"/>
    <w:rsid w:val="00F27575"/>
    <w:rsid w:val="00F27EE0"/>
    <w:rsid w:val="00F3166A"/>
    <w:rsid w:val="00F320DB"/>
    <w:rsid w:val="00F4267D"/>
    <w:rsid w:val="00F5311A"/>
    <w:rsid w:val="00F553A2"/>
    <w:rsid w:val="00F577FB"/>
    <w:rsid w:val="00F66841"/>
    <w:rsid w:val="00F670F2"/>
    <w:rsid w:val="00F8185D"/>
    <w:rsid w:val="00FA0D34"/>
    <w:rsid w:val="00FA53DB"/>
    <w:rsid w:val="00FA588B"/>
    <w:rsid w:val="00FB5898"/>
    <w:rsid w:val="00FC4352"/>
    <w:rsid w:val="00FE3026"/>
    <w:rsid w:val="00FE6E8E"/>
    <w:rsid w:val="00FF42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F0DB1"/>
    <w:pPr>
      <w:spacing w:after="0" w:line="240" w:lineRule="auto"/>
    </w:pPr>
  </w:style>
  <w:style w:type="character" w:customStyle="1" w:styleId="FunotentextZchn">
    <w:name w:val="Fußnotentext Zchn"/>
    <w:basedOn w:val="Absatz-Standardschriftart"/>
    <w:link w:val="Funotentext"/>
    <w:uiPriority w:val="99"/>
    <w:rsid w:val="005F0DB1"/>
  </w:style>
  <w:style w:type="character" w:styleId="Funotenzeichen">
    <w:name w:val="footnote reference"/>
    <w:basedOn w:val="Absatz-Standardschriftart"/>
    <w:uiPriority w:val="99"/>
    <w:semiHidden/>
    <w:unhideWhenUsed/>
    <w:rsid w:val="005F0DB1"/>
    <w:rPr>
      <w:vertAlign w:val="superscript"/>
    </w:rPr>
  </w:style>
  <w:style w:type="paragraph" w:styleId="Kopfzeile">
    <w:name w:val="header"/>
    <w:basedOn w:val="Standard"/>
    <w:link w:val="KopfzeileZchn"/>
    <w:uiPriority w:val="99"/>
    <w:unhideWhenUsed/>
    <w:rsid w:val="003F5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8FE"/>
  </w:style>
  <w:style w:type="paragraph" w:styleId="Fuzeile">
    <w:name w:val="footer"/>
    <w:basedOn w:val="Standard"/>
    <w:link w:val="FuzeileZchn"/>
    <w:uiPriority w:val="99"/>
    <w:semiHidden/>
    <w:unhideWhenUsed/>
    <w:rsid w:val="003F58F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F58FE"/>
  </w:style>
  <w:style w:type="character" w:styleId="HTMLZitat">
    <w:name w:val="HTML Cite"/>
    <w:basedOn w:val="Absatz-Standardschriftart"/>
    <w:uiPriority w:val="99"/>
    <w:semiHidden/>
    <w:unhideWhenUsed/>
    <w:rsid w:val="00F577FB"/>
    <w:rPr>
      <w:i/>
      <w:iCs/>
    </w:rPr>
  </w:style>
  <w:style w:type="character" w:styleId="Hyperlink">
    <w:name w:val="Hyperlink"/>
    <w:basedOn w:val="Absatz-Standardschriftart"/>
    <w:uiPriority w:val="99"/>
    <w:unhideWhenUsed/>
    <w:rsid w:val="00F01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19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E01C-A34F-4807-985B-BD48CC51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33165</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2011-05-03T14:15:00Z</cp:lastPrinted>
  <dcterms:created xsi:type="dcterms:W3CDTF">2011-05-05T06:17:00Z</dcterms:created>
  <dcterms:modified xsi:type="dcterms:W3CDTF">2012-01-02T12:26:00Z</dcterms:modified>
</cp:coreProperties>
</file>