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507" w:rsidRDefault="00515507" w:rsidP="00515507">
      <w:pPr>
        <w:spacing w:after="0"/>
        <w:jc w:val="both"/>
        <w:rPr>
          <w:b/>
        </w:rPr>
      </w:pPr>
      <w:r>
        <w:rPr>
          <w:b/>
        </w:rPr>
        <w:t>(51) Kap. 1: 1938 – 1948: Der Gegenstandsbereich</w:t>
      </w:r>
    </w:p>
    <w:p w:rsidR="00515507" w:rsidRPr="000C6C80" w:rsidRDefault="00515507" w:rsidP="00515507">
      <w:pPr>
        <w:spacing w:after="0"/>
        <w:jc w:val="both"/>
      </w:pPr>
    </w:p>
    <w:p w:rsidR="00515507" w:rsidRDefault="00515507" w:rsidP="00515507">
      <w:pPr>
        <w:spacing w:after="0"/>
        <w:jc w:val="both"/>
      </w:pPr>
      <w:r>
        <w:t xml:space="preserve">Am Anfang des zweiten </w:t>
      </w:r>
      <w:r w:rsidR="00433C1A">
        <w:t>A</w:t>
      </w:r>
      <w:r>
        <w:t xml:space="preserve">bschnitts </w:t>
      </w:r>
      <w:r w:rsidR="00433C1A">
        <w:t xml:space="preserve">des Exils </w:t>
      </w:r>
      <w:r>
        <w:t>steht die</w:t>
      </w:r>
      <w:r w:rsidRPr="003809AE">
        <w:t xml:space="preserve"> Annexion Österreichs</w:t>
      </w:r>
      <w:r w:rsidR="001B2D88">
        <w:t xml:space="preserve"> </w:t>
      </w:r>
      <w:r w:rsidR="00433C1A">
        <w:t>und die der S</w:t>
      </w:r>
      <w:r w:rsidR="00433C1A">
        <w:t>u</w:t>
      </w:r>
      <w:r w:rsidR="00433C1A">
        <w:t xml:space="preserve">detengebiete </w:t>
      </w:r>
      <w:r w:rsidR="001B2D88">
        <w:t>– a</w:t>
      </w:r>
      <w:r>
        <w:t xml:space="preserve">n seinem Ende </w:t>
      </w:r>
      <w:r w:rsidR="00433C1A">
        <w:t xml:space="preserve">stehen </w:t>
      </w:r>
      <w:r>
        <w:t>die</w:t>
      </w:r>
      <w:r w:rsidRPr="003809AE">
        <w:t xml:space="preserve"> deutsche Kapitulation</w:t>
      </w:r>
      <w:r>
        <w:t xml:space="preserve">, die </w:t>
      </w:r>
      <w:r w:rsidRPr="003809AE">
        <w:t>Bes</w:t>
      </w:r>
      <w:r>
        <w:t>e</w:t>
      </w:r>
      <w:r w:rsidRPr="003809AE">
        <w:t>tzung</w:t>
      </w:r>
      <w:r>
        <w:t xml:space="preserve"> Deutschlands </w:t>
      </w:r>
      <w:r w:rsidR="00433C1A">
        <w:t xml:space="preserve">durch die Alliierten </w:t>
      </w:r>
      <w:r>
        <w:t>und die</w:t>
      </w:r>
      <w:r w:rsidRPr="003809AE">
        <w:t xml:space="preserve"> </w:t>
      </w:r>
      <w:r>
        <w:t>Aufteilung Europas in politische Interessensphären</w:t>
      </w:r>
      <w:r w:rsidRPr="003809AE">
        <w:t>.</w:t>
      </w:r>
      <w:r>
        <w:t xml:space="preserve"> Insgesamt rd. 250 000 </w:t>
      </w:r>
      <w:r w:rsidR="001B2D88">
        <w:t>ehemalige KZ-Häftlinge</w:t>
      </w:r>
      <w:r>
        <w:t xml:space="preserve">, viele davon Flüchtlinge </w:t>
      </w:r>
      <w:r w:rsidR="00433C1A">
        <w:t xml:space="preserve">aus </w:t>
      </w:r>
      <w:r>
        <w:t>ihren Heimatländern</w:t>
      </w:r>
      <w:r w:rsidR="008D1753">
        <w:t>,</w:t>
      </w:r>
      <w:r>
        <w:t xml:space="preserve"> befinden </w:t>
      </w:r>
      <w:r w:rsidR="008D1753">
        <w:t>sich nach Kriegsende</w:t>
      </w:r>
      <w:r>
        <w:t xml:space="preserve"> in Deutschland. Es sind </w:t>
      </w:r>
      <w:r w:rsidR="00DB5500">
        <w:t xml:space="preserve">die </w:t>
      </w:r>
      <w:r>
        <w:t>„</w:t>
      </w:r>
      <w:proofErr w:type="spellStart"/>
      <w:r>
        <w:t>Displaced</w:t>
      </w:r>
      <w:proofErr w:type="spellEnd"/>
      <w:r>
        <w:t xml:space="preserve"> </w:t>
      </w:r>
      <w:proofErr w:type="spellStart"/>
      <w:r>
        <w:t>Persons</w:t>
      </w:r>
      <w:proofErr w:type="spellEnd"/>
      <w:r>
        <w:t>“,</w:t>
      </w:r>
      <w:r>
        <w:rPr>
          <w:rStyle w:val="Funotenzeichen"/>
        </w:rPr>
        <w:footnoteReference w:id="1"/>
      </w:r>
      <w:r>
        <w:t xml:space="preserve"> </w:t>
      </w:r>
      <w:r w:rsidR="00DB5500">
        <w:t xml:space="preserve">Menschen, </w:t>
      </w:r>
      <w:r>
        <w:t xml:space="preserve">die ihr </w:t>
      </w:r>
      <w:r w:rsidR="00DB5500">
        <w:t>Zuhause</w:t>
      </w:r>
      <w:r>
        <w:t xml:space="preserve"> verloren haben bzw. </w:t>
      </w:r>
      <w:r w:rsidR="00433C1A">
        <w:t>dort</w:t>
      </w:r>
      <w:r>
        <w:t>hin nicht zurückkehren wollen, weil sie</w:t>
      </w:r>
      <w:r w:rsidR="00DB5500">
        <w:t xml:space="preserve"> mit</w:t>
      </w:r>
      <w:r>
        <w:t xml:space="preserve"> erneut</w:t>
      </w:r>
      <w:r w:rsidR="00433C1A">
        <w:t>e</w:t>
      </w:r>
      <w:r w:rsidR="00DB5500">
        <w:t>n</w:t>
      </w:r>
      <w:r>
        <w:t xml:space="preserve"> Ve</w:t>
      </w:r>
      <w:r>
        <w:t>r</w:t>
      </w:r>
      <w:r>
        <w:t xml:space="preserve">folgungen </w:t>
      </w:r>
      <w:r w:rsidR="00DB5500">
        <w:t>rechn</w:t>
      </w:r>
      <w:r>
        <w:t xml:space="preserve">en und </w:t>
      </w:r>
      <w:r w:rsidR="00DB5500">
        <w:t xml:space="preserve">zu diesem Zeitpunkt </w:t>
      </w:r>
      <w:r>
        <w:t xml:space="preserve">noch nicht wissen, wohin sie gelangen werden oder gelangen können. </w:t>
      </w:r>
    </w:p>
    <w:p w:rsidR="00515507" w:rsidRDefault="00515507" w:rsidP="004758AD">
      <w:pPr>
        <w:spacing w:after="0"/>
        <w:ind w:firstLine="708"/>
        <w:jc w:val="both"/>
      </w:pPr>
      <w:r>
        <w:t>Die</w:t>
      </w:r>
      <w:r w:rsidR="004758AD">
        <w:t>se</w:t>
      </w:r>
      <w:r>
        <w:t xml:space="preserve"> zweite Phase des Exils</w:t>
      </w:r>
      <w:r w:rsidR="00433C1A">
        <w:t xml:space="preserve"> </w:t>
      </w:r>
      <w:r>
        <w:t xml:space="preserve">unterscheidet sich wesentlich von der Anfangsphase. Die Ursachen sind der Krieg und </w:t>
      </w:r>
      <w:r w:rsidR="00433C1A">
        <w:t xml:space="preserve">in seiner Folge </w:t>
      </w:r>
      <w:r>
        <w:t xml:space="preserve">die Flucht nach Übersee sowie – </w:t>
      </w:r>
      <w:r w:rsidR="008D1753">
        <w:t>parallel dazu</w:t>
      </w:r>
      <w:r>
        <w:t xml:space="preserve"> – der Holocaust. Die Auswirkungen auf das Erscheinungsbild der Exilliteratur sind beträchtlich.</w:t>
      </w:r>
      <w:r w:rsidRPr="006D2D66">
        <w:t xml:space="preserve"> </w:t>
      </w:r>
      <w:r w:rsidR="00433C1A">
        <w:t xml:space="preserve">Das Exil </w:t>
      </w:r>
      <w:r>
        <w:t>wird während d</w:t>
      </w:r>
      <w:r w:rsidR="00433C1A">
        <w:t>ies</w:t>
      </w:r>
      <w:r>
        <w:t xml:space="preserve">er Phase </w:t>
      </w:r>
      <w:r w:rsidRPr="000A04BF">
        <w:t>in eine</w:t>
      </w:r>
      <w:r>
        <w:t xml:space="preserve"> nahezu</w:t>
      </w:r>
      <w:r w:rsidRPr="000A04BF">
        <w:t xml:space="preserve"> </w:t>
      </w:r>
      <w:r w:rsidRPr="00DB5500">
        <w:t>passive Rolle</w:t>
      </w:r>
      <w:r>
        <w:rPr>
          <w:i/>
        </w:rPr>
        <w:t xml:space="preserve"> </w:t>
      </w:r>
      <w:r>
        <w:t>ge</w:t>
      </w:r>
      <w:r w:rsidRPr="000A04BF">
        <w:t>dräng</w:t>
      </w:r>
      <w:r>
        <w:t>t. Die Zahl der Pu</w:t>
      </w:r>
      <w:r>
        <w:t>b</w:t>
      </w:r>
      <w:r>
        <w:t>likationen verringert sich, das Verlagssystem ist erheblich schwächer</w:t>
      </w:r>
      <w:r w:rsidR="00433C1A">
        <w:t>,</w:t>
      </w:r>
      <w:r>
        <w:t xml:space="preserve"> </w:t>
      </w:r>
      <w:r w:rsidR="002E2059">
        <w:t>viel</w:t>
      </w:r>
      <w:r>
        <w:t>e Werke erscheinen in Kleinverlagen, oftmals in entlegenen Ländern</w:t>
      </w:r>
      <w:r w:rsidR="00BE5FFA">
        <w:t>,</w:t>
      </w:r>
      <w:r w:rsidR="002E2059">
        <w:t xml:space="preserve"> z.T. </w:t>
      </w:r>
      <w:r w:rsidR="00BE5FFA">
        <w:t xml:space="preserve">auch </w:t>
      </w:r>
      <w:r w:rsidR="002E2059">
        <w:t>bereits in der Sprache des Au</w:t>
      </w:r>
      <w:r w:rsidR="002E2059">
        <w:t>f</w:t>
      </w:r>
      <w:r w:rsidR="002E2059">
        <w:t>nahmelandes</w:t>
      </w:r>
      <w:r>
        <w:t xml:space="preserve">, und selbst </w:t>
      </w:r>
      <w:r w:rsidR="006B11D7">
        <w:t>von</w:t>
      </w:r>
      <w:r>
        <w:t xml:space="preserve"> den bekannten Autoren gelingt es nur wenigen, in der internat</w:t>
      </w:r>
      <w:r>
        <w:t>i</w:t>
      </w:r>
      <w:r>
        <w:t>onalen Öffentlichkeit Resonanz zu finden.</w:t>
      </w:r>
    </w:p>
    <w:p w:rsidR="00515507" w:rsidRDefault="00515507" w:rsidP="00515507">
      <w:pPr>
        <w:spacing w:after="0"/>
        <w:ind w:firstLine="708"/>
        <w:jc w:val="both"/>
      </w:pPr>
      <w:r>
        <w:t xml:space="preserve">Die Folgen </w:t>
      </w:r>
      <w:r w:rsidR="001B2D88">
        <w:t xml:space="preserve">des Kriegsausbruchs </w:t>
      </w:r>
      <w:r>
        <w:t xml:space="preserve">sind </w:t>
      </w:r>
      <w:r w:rsidR="00433C1A">
        <w:t xml:space="preserve">für die Exilanten </w:t>
      </w:r>
      <w:r>
        <w:t xml:space="preserve">gravierend: Aus </w:t>
      </w:r>
      <w:r w:rsidR="00701EAC">
        <w:t>politischen Flüchtlingen</w:t>
      </w:r>
      <w:r>
        <w:t xml:space="preserve">, die aufgrund ihres Status </w:t>
      </w:r>
      <w:r w:rsidR="002E2059">
        <w:t xml:space="preserve">bislang </w:t>
      </w:r>
      <w:r>
        <w:t>zumindest toleriert w</w:t>
      </w:r>
      <w:r w:rsidR="00701EAC">
        <w:t>o</w:t>
      </w:r>
      <w:r>
        <w:t>rden</w:t>
      </w:r>
      <w:r w:rsidR="00701EAC">
        <w:t xml:space="preserve"> waren</w:t>
      </w:r>
      <w:r>
        <w:t>, werden „unerwünschte Ausländer“,</w:t>
      </w:r>
      <w:r w:rsidR="00F560D9">
        <w:rPr>
          <w:rStyle w:val="Funotenzeichen"/>
        </w:rPr>
        <w:footnoteReference w:id="2"/>
      </w:r>
      <w:r>
        <w:t xml:space="preserve"> die </w:t>
      </w:r>
      <w:r w:rsidR="00701EAC">
        <w:t>kaum noch</w:t>
      </w:r>
      <w:r>
        <w:t xml:space="preserve"> Schutz finden, für die die Grenzen geschlossen</w:t>
      </w:r>
      <w:r w:rsidR="002166E0">
        <w:t xml:space="preserve"> sind,</w:t>
      </w:r>
      <w:r>
        <w:t xml:space="preserve"> Pässe und Visa nicht oder nur im Ausnahmefall zu erhalten sind, so dass ein Entko</w:t>
      </w:r>
      <w:r>
        <w:t>m</w:t>
      </w:r>
      <w:r>
        <w:t xml:space="preserve">men in neutrale Staaten </w:t>
      </w:r>
      <w:r w:rsidR="00701EAC">
        <w:t xml:space="preserve">wie </w:t>
      </w:r>
      <w:r w:rsidR="002166E0">
        <w:t xml:space="preserve">in </w:t>
      </w:r>
      <w:r w:rsidR="00701EAC">
        <w:t>die Schweiz</w:t>
      </w:r>
      <w:r w:rsidR="002166E0">
        <w:rPr>
          <w:rStyle w:val="Funotenzeichen"/>
        </w:rPr>
        <w:footnoteReference w:id="3"/>
      </w:r>
      <w:r w:rsidR="00701EAC">
        <w:t xml:space="preserve"> </w:t>
      </w:r>
      <w:r>
        <w:t>oder nach Übersee</w:t>
      </w:r>
      <w:r w:rsidR="003D28C3">
        <w:rPr>
          <w:rStyle w:val="Funotenzeichen"/>
        </w:rPr>
        <w:footnoteReference w:id="4"/>
      </w:r>
      <w:r>
        <w:t xml:space="preserve"> nahezu unmöglich ist</w:t>
      </w:r>
      <w:r w:rsidR="00D40423">
        <w:t>.</w:t>
      </w:r>
      <w:r w:rsidR="002E2059">
        <w:rPr>
          <w:rStyle w:val="Funotenzeichen"/>
        </w:rPr>
        <w:footnoteReference w:id="5"/>
      </w:r>
      <w:r w:rsidR="002E2059">
        <w:t xml:space="preserve"> </w:t>
      </w:r>
      <w:r w:rsidR="00D40423">
        <w:t>S</w:t>
      </w:r>
      <w:r w:rsidR="00701EAC">
        <w:t>tä</w:t>
      </w:r>
      <w:r w:rsidR="00701EAC">
        <w:t>n</w:t>
      </w:r>
      <w:r w:rsidR="00701EAC">
        <w:t>dig</w:t>
      </w:r>
      <w:r>
        <w:t xml:space="preserve"> </w:t>
      </w:r>
      <w:r w:rsidR="00D40423">
        <w:t xml:space="preserve">müssen sie </w:t>
      </w:r>
      <w:r>
        <w:t xml:space="preserve">mit der Abschiebung bzw. Deportation nach Deutschland rechnen. </w:t>
      </w:r>
      <w:r w:rsidR="008577D1">
        <w:t xml:space="preserve">Besonders gefährdet sind Emigranten jüdischer Abstammung. </w:t>
      </w:r>
      <w:r>
        <w:t>Was</w:t>
      </w:r>
      <w:r w:rsidR="008577D1">
        <w:t xml:space="preserve"> sie</w:t>
      </w:r>
      <w:r>
        <w:t xml:space="preserve"> </w:t>
      </w:r>
      <w:r w:rsidR="005C529F">
        <w:t xml:space="preserve">dort </w:t>
      </w:r>
      <w:r>
        <w:t xml:space="preserve">erwartet, ist </w:t>
      </w:r>
      <w:r w:rsidR="008577D1">
        <w:t>ihnen</w:t>
      </w:r>
      <w:r>
        <w:t xml:space="preserve"> </w:t>
      </w:r>
      <w:r w:rsidR="005C529F">
        <w:t xml:space="preserve">im Detail vielleicht nicht </w:t>
      </w:r>
      <w:r>
        <w:t xml:space="preserve">bekannt. </w:t>
      </w:r>
      <w:r w:rsidR="005C529F">
        <w:t xml:space="preserve">Aber sie erahnen es. </w:t>
      </w:r>
    </w:p>
    <w:p w:rsidR="00515507" w:rsidRDefault="00515507" w:rsidP="00515507">
      <w:pPr>
        <w:spacing w:after="0"/>
        <w:jc w:val="both"/>
      </w:pPr>
      <w:r>
        <w:rPr>
          <w:i/>
        </w:rPr>
        <w:tab/>
      </w:r>
      <w:r>
        <w:t xml:space="preserve">Mit der Deportation in ein Arbeits- bzw. Konzentrationslager müssen auch diejenigen deutschen Juden </w:t>
      </w:r>
      <w:r w:rsidR="00701EAC">
        <w:t xml:space="preserve">und </w:t>
      </w:r>
      <w:r w:rsidR="004E10F3">
        <w:t>„</w:t>
      </w:r>
      <w:r w:rsidR="00701EAC">
        <w:t>Halbjuden</w:t>
      </w:r>
      <w:r w:rsidR="004E10F3">
        <w:t>“</w:t>
      </w:r>
      <w:r w:rsidR="00701EAC">
        <w:t xml:space="preserve"> </w:t>
      </w:r>
      <w:r>
        <w:t xml:space="preserve">rechnen, denen es bislang nicht möglich gewesen </w:t>
      </w:r>
      <w:r w:rsidR="001B2D88">
        <w:t>ist</w:t>
      </w:r>
      <w:r>
        <w:t xml:space="preserve"> Deutschland zu verlassen bzw. </w:t>
      </w:r>
      <w:r w:rsidRPr="00E84A6F">
        <w:rPr>
          <w:i/>
        </w:rPr>
        <w:t>die</w:t>
      </w:r>
      <w:r w:rsidRPr="0088514A">
        <w:rPr>
          <w:i/>
        </w:rPr>
        <w:t xml:space="preserve"> dazu</w:t>
      </w:r>
      <w:r>
        <w:t xml:space="preserve"> </w:t>
      </w:r>
      <w:r w:rsidRPr="00201C28">
        <w:rPr>
          <w:i/>
        </w:rPr>
        <w:t xml:space="preserve">nicht willens </w:t>
      </w:r>
      <w:r>
        <w:rPr>
          <w:i/>
        </w:rPr>
        <w:t xml:space="preserve">gewesen </w:t>
      </w:r>
      <w:r w:rsidRPr="00201C28">
        <w:rPr>
          <w:i/>
        </w:rPr>
        <w:t>waren</w:t>
      </w:r>
      <w:r>
        <w:t>, weil für sie das, was in der Folgezeit gesch</w:t>
      </w:r>
      <w:r w:rsidR="00701EAC">
        <w:t>i</w:t>
      </w:r>
      <w:r>
        <w:t>eh</w:t>
      </w:r>
      <w:r w:rsidR="00701EAC">
        <w:t>t</w:t>
      </w:r>
      <w:r>
        <w:t>, nicht vorstellbar war. Ihnen war nicht bewusst</w:t>
      </w:r>
      <w:r w:rsidR="004E10F3">
        <w:t xml:space="preserve"> gewesen</w:t>
      </w:r>
      <w:r>
        <w:t>, wie gefäh</w:t>
      </w:r>
      <w:r>
        <w:t>r</w:t>
      </w:r>
      <w:r>
        <w:t xml:space="preserve">det sie waren. Einzelne bereiten den Schritt in die Illegalität vor. Von der </w:t>
      </w:r>
      <w:r w:rsidR="004E10F3">
        <w:t xml:space="preserve">Gefahr der </w:t>
      </w:r>
      <w:r>
        <w:t>Deport</w:t>
      </w:r>
      <w:r>
        <w:t>a</w:t>
      </w:r>
      <w:r>
        <w:lastRenderedPageBreak/>
        <w:t xml:space="preserve">tion ist auch die jüdische Bevölkerung </w:t>
      </w:r>
      <w:r w:rsidR="004E10F3">
        <w:t>der</w:t>
      </w:r>
      <w:r>
        <w:t xml:space="preserve"> von Deutschland okkupierten Staaten bedroht. </w:t>
      </w:r>
      <w:r w:rsidR="001B2D88">
        <w:t>Wie der Mord an den ungarischen Juden zeigt,</w:t>
      </w:r>
      <w:r w:rsidR="001B2D88">
        <w:rPr>
          <w:rStyle w:val="Funotenzeichen"/>
        </w:rPr>
        <w:footnoteReference w:id="6"/>
      </w:r>
      <w:r w:rsidR="001B2D88">
        <w:t xml:space="preserve"> ist der nationalsozialistische Staat s</w:t>
      </w:r>
      <w:r>
        <w:t xml:space="preserve">ogar </w:t>
      </w:r>
      <w:r w:rsidR="001B2D88">
        <w:t xml:space="preserve">noch </w:t>
      </w:r>
      <w:r>
        <w:t>in der Endphase des Weltkriegs bereit, für das Ziel der „Endlösung“ Transportkapazitäten und Bewachungspersonal zur Verfügung zu stellen.</w:t>
      </w:r>
    </w:p>
    <w:p w:rsidR="00515507" w:rsidRDefault="00515507" w:rsidP="00515507">
      <w:pPr>
        <w:spacing w:after="0"/>
        <w:jc w:val="both"/>
      </w:pPr>
      <w:r>
        <w:tab/>
        <w:t>D</w:t>
      </w:r>
      <w:r w:rsidR="001B2D88">
        <w:t>er Beginn des Weltkriegs und die davon ausgelöste</w:t>
      </w:r>
      <w:r>
        <w:t xml:space="preserve"> Entwicklung gibt dem Exil und damit auch der Exilliteratur ein grundlegend verändertes Aussehen. </w:t>
      </w:r>
      <w:r w:rsidRPr="0088514A">
        <w:rPr>
          <w:i/>
        </w:rPr>
        <w:t xml:space="preserve">Jetzt rückt der </w:t>
      </w:r>
      <w:r w:rsidR="001B2D88">
        <w:rPr>
          <w:i/>
        </w:rPr>
        <w:t>Holocaust</w:t>
      </w:r>
      <w:r>
        <w:rPr>
          <w:i/>
        </w:rPr>
        <w:t xml:space="preserve"> </w:t>
      </w:r>
      <w:r w:rsidRPr="0088514A">
        <w:rPr>
          <w:i/>
        </w:rPr>
        <w:t>ins Zentrum</w:t>
      </w:r>
      <w:r>
        <w:t xml:space="preserve">. Für viele Verfolgte wird die Rückbesinnung auf ihre </w:t>
      </w:r>
      <w:r w:rsidRPr="00B351E4">
        <w:t>jüdische Identität</w:t>
      </w:r>
      <w:r>
        <w:t xml:space="preserve"> </w:t>
      </w:r>
      <w:r w:rsidR="00B351E4">
        <w:t xml:space="preserve">von nun an </w:t>
      </w:r>
      <w:r>
        <w:t xml:space="preserve">zu einem Faktor von existenzieller Bedeutung, der </w:t>
      </w:r>
      <w:r w:rsidR="00701EAC">
        <w:t>das</w:t>
      </w:r>
      <w:r>
        <w:t xml:space="preserve"> Selbstverständnis, </w:t>
      </w:r>
      <w:r w:rsidR="00701EAC">
        <w:t>das</w:t>
      </w:r>
      <w:r>
        <w:t xml:space="preserve"> Handeln und </w:t>
      </w:r>
      <w:r w:rsidR="00701EAC">
        <w:t>di</w:t>
      </w:r>
      <w:r>
        <w:t>e politische Orientierung prägt.</w:t>
      </w:r>
      <w:r>
        <w:rPr>
          <w:rStyle w:val="Funotenzeichen"/>
        </w:rPr>
        <w:footnoteReference w:id="7"/>
      </w:r>
      <w:r>
        <w:t xml:space="preserve"> Das Gefühl, </w:t>
      </w:r>
      <w:r w:rsidR="00B351E4">
        <w:t xml:space="preserve">aufgrund der Abstammung stigmatisiert und ausgegrenzt zu werden, </w:t>
      </w:r>
      <w:r>
        <w:t xml:space="preserve">in </w:t>
      </w:r>
      <w:r w:rsidR="00B351E4">
        <w:t>ein</w:t>
      </w:r>
      <w:r>
        <w:t xml:space="preserve">er </w:t>
      </w:r>
      <w:r w:rsidR="004E10F3">
        <w:t xml:space="preserve">neuen </w:t>
      </w:r>
      <w:r>
        <w:t xml:space="preserve">Form </w:t>
      </w:r>
      <w:r w:rsidR="00B351E4">
        <w:t>der</w:t>
      </w:r>
      <w:r w:rsidR="00701EAC">
        <w:t xml:space="preserve"> </w:t>
      </w:r>
      <w:r w:rsidR="00B351E4">
        <w:t>„</w:t>
      </w:r>
      <w:r>
        <w:t>Diaspora</w:t>
      </w:r>
      <w:r w:rsidR="00B351E4">
        <w:t>“</w:t>
      </w:r>
      <w:r>
        <w:t xml:space="preserve"> zu leben, verstärkt sich. Das gilt </w:t>
      </w:r>
      <w:r w:rsidR="00B351E4">
        <w:t>insbesondere</w:t>
      </w:r>
      <w:r>
        <w:t xml:space="preserve"> für Personen, für die ihre jüdische Abstammung bzw. </w:t>
      </w:r>
      <w:r w:rsidR="00B351E4">
        <w:t>das</w:t>
      </w:r>
      <w:r>
        <w:t xml:space="preserve"> Bekenntnis zur jüd</w:t>
      </w:r>
      <w:r>
        <w:t>i</w:t>
      </w:r>
      <w:r>
        <w:t xml:space="preserve">schen Religion </w:t>
      </w:r>
      <w:r w:rsidR="00B351E4">
        <w:t xml:space="preserve">bislang </w:t>
      </w:r>
      <w:r>
        <w:t xml:space="preserve">allenfalls privat </w:t>
      </w:r>
      <w:r w:rsidR="00B351E4">
        <w:t xml:space="preserve">von </w:t>
      </w:r>
      <w:r>
        <w:t>Bedeutung gewesen war</w:t>
      </w:r>
      <w:r w:rsidR="00B351E4">
        <w:t xml:space="preserve"> und die sich in prägna</w:t>
      </w:r>
      <w:r w:rsidR="00B351E4">
        <w:t>n</w:t>
      </w:r>
      <w:r w:rsidR="00B351E4">
        <w:t>te</w:t>
      </w:r>
      <w:r w:rsidR="00920491">
        <w:t>r Weise</w:t>
      </w:r>
      <w:r w:rsidR="00B351E4">
        <w:t xml:space="preserve"> als „Deutsche“ verstanden hatten. </w:t>
      </w:r>
      <w:r w:rsidR="00B351E4" w:rsidRPr="00920491">
        <w:t>„Jude zu sein“ war für viele Betroffene zunächst nichts anderes als eine</w:t>
      </w:r>
      <w:r w:rsidRPr="00920491">
        <w:t xml:space="preserve"> Zuschreibung seitens des NS-Regimes</w:t>
      </w:r>
      <w:r w:rsidR="00264A93" w:rsidRPr="00920491">
        <w:t xml:space="preserve"> </w:t>
      </w:r>
      <w:r w:rsidR="00B351E4" w:rsidRPr="00920491">
        <w:t>gewesen</w:t>
      </w:r>
      <w:r>
        <w:rPr>
          <w:i/>
        </w:rPr>
        <w:t xml:space="preserve">. </w:t>
      </w:r>
      <w:r>
        <w:t>Aus Sicht der Verfo</w:t>
      </w:r>
      <w:r>
        <w:t>l</w:t>
      </w:r>
      <w:r>
        <w:t>gungsinstanzen</w:t>
      </w:r>
      <w:r w:rsidR="00264A93" w:rsidRPr="00264A93">
        <w:t xml:space="preserve"> </w:t>
      </w:r>
      <w:r w:rsidR="00264A93">
        <w:t>jedoch</w:t>
      </w:r>
      <w:r>
        <w:t xml:space="preserve">, also des NS-Staates, ist die Sachlage eindeutig: </w:t>
      </w:r>
      <w:r w:rsidRPr="00263CF5">
        <w:rPr>
          <w:i/>
        </w:rPr>
        <w:t xml:space="preserve">Der „Jude“ ist der Gegner schlechthin. </w:t>
      </w:r>
      <w:r>
        <w:t xml:space="preserve">Die rassistische Verfolgungs- und Vernichtungspolitik ist </w:t>
      </w:r>
      <w:r w:rsidR="005536F6">
        <w:t>d</w:t>
      </w:r>
      <w:r w:rsidR="00920491">
        <w:t>eshalb auch</w:t>
      </w:r>
      <w:r w:rsidR="005536F6">
        <w:t xml:space="preserve"> </w:t>
      </w:r>
      <w:r>
        <w:t xml:space="preserve">ein integraler Bestandteil der nationalsozialistischen Eroberungs- und Besatzungspolitik. Im Procedere und im zeitlichen Ablauf unterscheidet sich das Vorgehen </w:t>
      </w:r>
      <w:r w:rsidR="00123C73">
        <w:t>in</w:t>
      </w:r>
      <w:r>
        <w:t xml:space="preserve"> den </w:t>
      </w:r>
      <w:r w:rsidR="00920491">
        <w:t xml:space="preserve">jeweiligen </w:t>
      </w:r>
      <w:r>
        <w:t>okk</w:t>
      </w:r>
      <w:r>
        <w:t>u</w:t>
      </w:r>
      <w:r>
        <w:t>pierten Staaten</w:t>
      </w:r>
      <w:r w:rsidR="00264A93">
        <w:t xml:space="preserve"> z.T. beträchtlich</w:t>
      </w:r>
      <w:r>
        <w:t xml:space="preserve">. </w:t>
      </w:r>
      <w:r w:rsidR="00740EE3">
        <w:t>Es</w:t>
      </w:r>
      <w:r>
        <w:t xml:space="preserve"> folgt den </w:t>
      </w:r>
      <w:r w:rsidR="00920491">
        <w:t>Gesetzen</w:t>
      </w:r>
      <w:r>
        <w:t xml:space="preserve"> </w:t>
      </w:r>
      <w:r w:rsidR="00264A93">
        <w:t xml:space="preserve">der </w:t>
      </w:r>
      <w:r w:rsidR="00740EE3">
        <w:t xml:space="preserve">jeweiligen </w:t>
      </w:r>
      <w:r>
        <w:t>politische</w:t>
      </w:r>
      <w:r w:rsidR="00264A93">
        <w:t>n</w:t>
      </w:r>
      <w:r>
        <w:t xml:space="preserve"> bzw. milit</w:t>
      </w:r>
      <w:r>
        <w:t>ä</w:t>
      </w:r>
      <w:r>
        <w:t>rische</w:t>
      </w:r>
      <w:r w:rsidR="00264A93">
        <w:t>n</w:t>
      </w:r>
      <w:r>
        <w:t xml:space="preserve"> Opportunität. Die Zielsetzung</w:t>
      </w:r>
      <w:r w:rsidR="00123C73">
        <w:t>:</w:t>
      </w:r>
      <w:r>
        <w:t xml:space="preserve"> d</w:t>
      </w:r>
      <w:r w:rsidR="00123C73">
        <w:t>ie</w:t>
      </w:r>
      <w:r>
        <w:t xml:space="preserve"> Vernichtung des europäischen Judentums</w:t>
      </w:r>
      <w:r w:rsidR="00123C73">
        <w:t>,</w:t>
      </w:r>
      <w:r>
        <w:t xml:space="preserve"> ist </w:t>
      </w:r>
      <w:r w:rsidR="00264A93">
        <w:t>j</w:t>
      </w:r>
      <w:r w:rsidR="00264A93">
        <w:t>e</w:t>
      </w:r>
      <w:r w:rsidR="00264A93">
        <w:t xml:space="preserve">doch </w:t>
      </w:r>
      <w:r>
        <w:t xml:space="preserve">in allen </w:t>
      </w:r>
      <w:r w:rsidR="00920491">
        <w:t xml:space="preserve">von Deutschland </w:t>
      </w:r>
      <w:r>
        <w:t>okkupierten Staaten dieselbe.</w:t>
      </w:r>
      <w:r w:rsidR="00AF2079">
        <w:rPr>
          <w:rStyle w:val="Funotenzeichen"/>
        </w:rPr>
        <w:footnoteReference w:id="8"/>
      </w:r>
      <w:r>
        <w:t xml:space="preserve"> </w:t>
      </w:r>
    </w:p>
    <w:p w:rsidR="00515507" w:rsidRDefault="00515507" w:rsidP="00515507">
      <w:pPr>
        <w:spacing w:after="0"/>
        <w:jc w:val="both"/>
      </w:pPr>
    </w:p>
    <w:p w:rsidR="00515507" w:rsidRPr="00F66AF7" w:rsidRDefault="00515507" w:rsidP="00515507">
      <w:pPr>
        <w:spacing w:after="0"/>
        <w:ind w:firstLine="708"/>
        <w:jc w:val="both"/>
      </w:pPr>
      <w:r>
        <w:t>Der</w:t>
      </w:r>
      <w:r w:rsidR="00264A93">
        <w:t xml:space="preserve"> unmittelbare</w:t>
      </w:r>
      <w:r>
        <w:t xml:space="preserve"> Zusammenhang von militärischer Aggression und Vernichtungspol</w:t>
      </w:r>
      <w:r>
        <w:t>i</w:t>
      </w:r>
      <w:r>
        <w:t>tik ist beispielhaft an der deutschen Besatzungspolitik in Polen erkennbar.</w:t>
      </w:r>
      <w:r>
        <w:rPr>
          <w:rStyle w:val="Funotenzeichen"/>
        </w:rPr>
        <w:footnoteReference w:id="9"/>
      </w:r>
      <w:r>
        <w:t xml:space="preserve"> </w:t>
      </w:r>
      <w:r w:rsidRPr="00F66AF7">
        <w:t>Terror, Entrec</w:t>
      </w:r>
      <w:r w:rsidRPr="00F66AF7">
        <w:t>h</w:t>
      </w:r>
      <w:r w:rsidRPr="00F66AF7">
        <w:t xml:space="preserve">tung, Ausbeutung setzen bereits im </w:t>
      </w:r>
      <w:r w:rsidR="00123C73">
        <w:t>Zuge</w:t>
      </w:r>
      <w:r w:rsidRPr="00F66AF7">
        <w:t xml:space="preserve"> des deutschen Einmarsches ein</w:t>
      </w:r>
      <w:r w:rsidR="00920491">
        <w:t>.</w:t>
      </w:r>
      <w:r w:rsidRPr="00F66AF7">
        <w:t xml:space="preserve"> </w:t>
      </w:r>
      <w:r w:rsidR="00DA3932">
        <w:t xml:space="preserve">Am Anfang steht die Arisierung </w:t>
      </w:r>
      <w:r w:rsidRPr="00F66AF7">
        <w:t>jüdische</w:t>
      </w:r>
      <w:r w:rsidR="00DA3932">
        <w:t>n</w:t>
      </w:r>
      <w:r w:rsidRPr="00F66AF7">
        <w:t xml:space="preserve"> </w:t>
      </w:r>
      <w:r w:rsidR="00DA3932">
        <w:t>Besitzes</w:t>
      </w:r>
      <w:r>
        <w:t xml:space="preserve">, </w:t>
      </w:r>
      <w:r w:rsidR="00DA3932">
        <w:t>es folgen</w:t>
      </w:r>
      <w:r w:rsidRPr="00F66AF7">
        <w:t xml:space="preserve"> Pogrome</w:t>
      </w:r>
      <w:r>
        <w:t xml:space="preserve"> und </w:t>
      </w:r>
      <w:r w:rsidR="00DA3932">
        <w:t xml:space="preserve">am Ende steht der </w:t>
      </w:r>
      <w:r w:rsidRPr="00F66AF7">
        <w:t xml:space="preserve">Befehl zur </w:t>
      </w:r>
      <w:r w:rsidR="00DA3932">
        <w:t>D</w:t>
      </w:r>
      <w:r w:rsidR="00DA3932">
        <w:t>e</w:t>
      </w:r>
      <w:r w:rsidR="00DA3932">
        <w:t xml:space="preserve">portation „in den </w:t>
      </w:r>
      <w:r w:rsidRPr="00F66AF7">
        <w:t>Osten</w:t>
      </w:r>
      <w:r w:rsidR="00DA3932">
        <w:t>“</w:t>
      </w:r>
      <w:r w:rsidRPr="00F66AF7">
        <w:t xml:space="preserve">. </w:t>
      </w:r>
      <w:r w:rsidR="00623790">
        <w:t>Parallel dazu</w:t>
      </w:r>
      <w:r>
        <w:t xml:space="preserve"> wird e</w:t>
      </w:r>
      <w:r w:rsidRPr="00F66AF7">
        <w:t xml:space="preserve">ine in </w:t>
      </w:r>
      <w:r w:rsidR="00920491">
        <w:t>ih</w:t>
      </w:r>
      <w:r w:rsidR="00623790">
        <w:t>r</w:t>
      </w:r>
      <w:r w:rsidRPr="00F66AF7">
        <w:t>en Ausmaßen kaum vorstellbare Ve</w:t>
      </w:r>
      <w:r w:rsidRPr="00F66AF7">
        <w:t>r</w:t>
      </w:r>
      <w:r w:rsidRPr="00F66AF7">
        <w:t xml:space="preserve">schiebung unterschiedlicher Bevölkerungsgruppen </w:t>
      </w:r>
      <w:r w:rsidR="00DA3932">
        <w:t>vollzogen</w:t>
      </w:r>
      <w:r w:rsidRPr="00F66AF7">
        <w:t xml:space="preserve">. </w:t>
      </w:r>
      <w:r w:rsidR="00123C73">
        <w:t>U</w:t>
      </w:r>
      <w:r w:rsidR="00123C73" w:rsidRPr="00F66AF7">
        <w:t>m das Deutsche Reich „j</w:t>
      </w:r>
      <w:r w:rsidR="00123C73" w:rsidRPr="00F66AF7">
        <w:t>u</w:t>
      </w:r>
      <w:r w:rsidR="00123C73" w:rsidRPr="00F66AF7">
        <w:t>denfrei“ zu machen</w:t>
      </w:r>
      <w:r w:rsidR="00123C73">
        <w:t>, werden</w:t>
      </w:r>
      <w:r w:rsidR="00123C73" w:rsidRPr="00F66AF7">
        <w:t xml:space="preserve"> </w:t>
      </w:r>
      <w:r w:rsidRPr="00F66AF7">
        <w:t xml:space="preserve">Juden, die im </w:t>
      </w:r>
      <w:r w:rsidR="00DA3932">
        <w:t>„</w:t>
      </w:r>
      <w:proofErr w:type="spellStart"/>
      <w:r w:rsidRPr="00F66AF7">
        <w:t>Altreich</w:t>
      </w:r>
      <w:proofErr w:type="spellEnd"/>
      <w:r w:rsidR="00DA3932">
        <w:t>“</w:t>
      </w:r>
      <w:r w:rsidRPr="00F66AF7">
        <w:t xml:space="preserve">, in der </w:t>
      </w:r>
      <w:r w:rsidR="00920491">
        <w:t>„</w:t>
      </w:r>
      <w:r w:rsidRPr="00F66AF7">
        <w:t>Ostmark</w:t>
      </w:r>
      <w:r w:rsidR="00920491">
        <w:t>“</w:t>
      </w:r>
      <w:r w:rsidRPr="00F66AF7">
        <w:t xml:space="preserve"> und im </w:t>
      </w:r>
      <w:r w:rsidR="00920491">
        <w:t>„</w:t>
      </w:r>
      <w:r w:rsidRPr="00F66AF7">
        <w:t>Protektorat</w:t>
      </w:r>
      <w:r w:rsidR="00920491">
        <w:t>“</w:t>
      </w:r>
      <w:r w:rsidRPr="00F66AF7">
        <w:t xml:space="preserve"> leben, nach Polen </w:t>
      </w:r>
      <w:r w:rsidR="00B33859">
        <w:t>deportier</w:t>
      </w:r>
      <w:r w:rsidRPr="00F66AF7">
        <w:t>t</w:t>
      </w:r>
      <w:r>
        <w:t>;</w:t>
      </w:r>
      <w:r w:rsidRPr="00F66AF7">
        <w:t xml:space="preserve"> </w:t>
      </w:r>
      <w:r w:rsidR="00123C73">
        <w:t xml:space="preserve">parallel werden </w:t>
      </w:r>
      <w:r w:rsidRPr="00F66AF7">
        <w:t>Polen aus den westlichen Territorien in das</w:t>
      </w:r>
      <w:r w:rsidRPr="00F66AF7">
        <w:rPr>
          <w:i/>
        </w:rPr>
        <w:t xml:space="preserve"> </w:t>
      </w:r>
      <w:r w:rsidRPr="00F66AF7">
        <w:t>G</w:t>
      </w:r>
      <w:r w:rsidRPr="00F66AF7">
        <w:t>e</w:t>
      </w:r>
      <w:r w:rsidRPr="00F66AF7">
        <w:t xml:space="preserve">neralgouvernement umgesiedelt, um die von Deutschland annektierten Gebiete: den </w:t>
      </w:r>
      <w:proofErr w:type="spellStart"/>
      <w:r w:rsidRPr="00F66AF7">
        <w:t>Warthegau</w:t>
      </w:r>
      <w:proofErr w:type="spellEnd"/>
      <w:r w:rsidRPr="00F66AF7">
        <w:t>, den Gau Danzig-Westpreußen sowie die ehemals polnischen Teile Oberschles</w:t>
      </w:r>
      <w:r w:rsidRPr="00F66AF7">
        <w:t>i</w:t>
      </w:r>
      <w:r w:rsidRPr="00F66AF7">
        <w:t xml:space="preserve">ens, als „Lebensraum des deutschen Volkes frei zu machen“. </w:t>
      </w:r>
      <w:r>
        <w:t>D</w:t>
      </w:r>
      <w:r w:rsidRPr="00F66AF7">
        <w:t>ie Germanisierungs- und K</w:t>
      </w:r>
      <w:r w:rsidRPr="00F66AF7">
        <w:t>o</w:t>
      </w:r>
      <w:r w:rsidRPr="00F66AF7">
        <w:lastRenderedPageBreak/>
        <w:t>lonisierungspolitik</w:t>
      </w:r>
      <w:r>
        <w:t xml:space="preserve"> wird </w:t>
      </w:r>
      <w:r w:rsidR="00A703F9">
        <w:t>auf diese Weise</w:t>
      </w:r>
      <w:r>
        <w:t xml:space="preserve"> zu</w:t>
      </w:r>
      <w:r w:rsidRPr="00F66AF7">
        <w:t xml:space="preserve"> </w:t>
      </w:r>
      <w:r>
        <w:t>einem</w:t>
      </w:r>
      <w:r w:rsidRPr="00F66AF7">
        <w:t xml:space="preserve"> zentrale</w:t>
      </w:r>
      <w:r>
        <w:t>n</w:t>
      </w:r>
      <w:r w:rsidRPr="00F66AF7">
        <w:t xml:space="preserve"> Verfolgungsinstrument</w:t>
      </w:r>
      <w:r w:rsidR="00A703F9">
        <w:t xml:space="preserve">: </w:t>
      </w:r>
      <w:r w:rsidRPr="00F66AF7">
        <w:t>eine</w:t>
      </w:r>
      <w:r w:rsidR="00920491">
        <w:t>r</w:t>
      </w:r>
      <w:r w:rsidRPr="00F66AF7">
        <w:t xml:space="preserve"> erste</w:t>
      </w:r>
      <w:r w:rsidR="00920491">
        <w:t>n</w:t>
      </w:r>
      <w:r w:rsidRPr="00F66AF7">
        <w:t xml:space="preserve"> „Einübung des Mordens“.</w:t>
      </w:r>
      <w:r w:rsidR="00A94856">
        <w:rPr>
          <w:rStyle w:val="Funotenzeichen"/>
        </w:rPr>
        <w:footnoteReference w:id="10"/>
      </w:r>
    </w:p>
    <w:p w:rsidR="00166A4D" w:rsidRDefault="00515507" w:rsidP="00515507">
      <w:pPr>
        <w:spacing w:after="0"/>
        <w:jc w:val="both"/>
      </w:pPr>
      <w:r w:rsidRPr="00F66AF7">
        <w:tab/>
        <w:t>Die Massenumsiedlung</w:t>
      </w:r>
      <w:r w:rsidR="0097254D">
        <w:t>en</w:t>
      </w:r>
      <w:r w:rsidRPr="00F66AF7">
        <w:t xml:space="preserve"> beginn</w:t>
      </w:r>
      <w:r w:rsidR="0097254D">
        <w:t>en</w:t>
      </w:r>
      <w:r w:rsidRPr="00F66AF7">
        <w:t xml:space="preserve"> Mitte November 1939</w:t>
      </w:r>
      <w:r w:rsidR="00A703F9">
        <w:t xml:space="preserve">. </w:t>
      </w:r>
      <w:r w:rsidR="00CC60F5">
        <w:t xml:space="preserve">Wie aus </w:t>
      </w:r>
      <w:r w:rsidR="00CC60F5" w:rsidRPr="00015DE3">
        <w:t xml:space="preserve">einem Bericht </w:t>
      </w:r>
      <w:r w:rsidR="00CC60F5">
        <w:t>vo</w:t>
      </w:r>
      <w:r w:rsidR="00CC60F5" w:rsidRPr="00015DE3">
        <w:t>m Dezember 1939 des für die „Evakuierung“ von insgesamt 15 000 Polen und Juden z</w:t>
      </w:r>
      <w:r w:rsidR="00CC60F5" w:rsidRPr="00015DE3">
        <w:t>u</w:t>
      </w:r>
      <w:r w:rsidR="00CC60F5" w:rsidRPr="00015DE3">
        <w:t>ständigen Leiters der Gestapodienststelle in Lodz hervor</w:t>
      </w:r>
      <w:r w:rsidR="00CC60F5">
        <w:t>geht, ist n</w:t>
      </w:r>
      <w:r w:rsidR="002E58B5">
        <w:t>icht einmal ein Mindestmaß der</w:t>
      </w:r>
      <w:r w:rsidR="00A703F9">
        <w:t xml:space="preserve"> </w:t>
      </w:r>
      <w:r w:rsidR="002E58B5">
        <w:t xml:space="preserve">für </w:t>
      </w:r>
      <w:r w:rsidR="002B41F1">
        <w:t xml:space="preserve">die Aktion </w:t>
      </w:r>
      <w:r w:rsidR="00A703F9">
        <w:t>erforderlichen</w:t>
      </w:r>
      <w:r w:rsidRPr="00F66AF7">
        <w:t xml:space="preserve"> Voraussetzungen</w:t>
      </w:r>
      <w:r w:rsidR="00D32640" w:rsidRPr="00D32640">
        <w:t xml:space="preserve"> </w:t>
      </w:r>
      <w:r w:rsidR="00D32640" w:rsidRPr="00F66AF7">
        <w:t>gewährleistet</w:t>
      </w:r>
      <w:r w:rsidRPr="00F66AF7">
        <w:t>: hinreichende Transportk</w:t>
      </w:r>
      <w:r w:rsidRPr="00F66AF7">
        <w:t>a</w:t>
      </w:r>
      <w:r w:rsidRPr="00F66AF7">
        <w:t>pazität, Verpflegung während des Transports, Wohnraum am Zielort bzw. die Unterbringung in vorbereiteten Auffanglagern</w:t>
      </w:r>
      <w:r w:rsidR="002E58B5" w:rsidRPr="00015DE3">
        <w:t>.</w:t>
      </w:r>
      <w:r w:rsidR="000F0815">
        <w:t xml:space="preserve"> </w:t>
      </w:r>
      <w:r w:rsidRPr="00F66AF7">
        <w:t xml:space="preserve">Die </w:t>
      </w:r>
      <w:r w:rsidR="0097254D">
        <w:t xml:space="preserve">Zusammenstellung der </w:t>
      </w:r>
      <w:r w:rsidR="00D32640">
        <w:t>Deportierung</w:t>
      </w:r>
      <w:r w:rsidRPr="00F66AF7">
        <w:t xml:space="preserve"> </w:t>
      </w:r>
      <w:r w:rsidR="000F0815">
        <w:t xml:space="preserve">erfolgt </w:t>
      </w:r>
      <w:r w:rsidR="00CC60F5">
        <w:t xml:space="preserve">z.T. </w:t>
      </w:r>
      <w:r w:rsidR="000F0815">
        <w:t xml:space="preserve">bei Schneetreiben und Minustemperaturen, der Transport </w:t>
      </w:r>
      <w:r w:rsidRPr="00F66AF7">
        <w:t>in ungeheizten Zügen</w:t>
      </w:r>
      <w:r w:rsidR="000F0815">
        <w:t>;</w:t>
      </w:r>
      <w:r w:rsidRPr="00F66AF7">
        <w:t xml:space="preserve"> </w:t>
      </w:r>
      <w:r w:rsidR="000F0815">
        <w:t xml:space="preserve">die Deportierten verfügen nicht über </w:t>
      </w:r>
      <w:r w:rsidRPr="00F66AF7">
        <w:t>die angesichts der Kälte erforderliche Kleidung</w:t>
      </w:r>
      <w:r w:rsidR="000723B6">
        <w:t>,</w:t>
      </w:r>
      <w:r w:rsidRPr="00F66AF7">
        <w:t xml:space="preserve"> und </w:t>
      </w:r>
      <w:r w:rsidR="000F0815">
        <w:t>es mangelt ihnen an</w:t>
      </w:r>
      <w:r w:rsidRPr="00F66AF7">
        <w:t xml:space="preserve"> hinreichende</w:t>
      </w:r>
      <w:r w:rsidR="000F0815">
        <w:t>r</w:t>
      </w:r>
      <w:r w:rsidRPr="00F66AF7">
        <w:t xml:space="preserve"> Verpflegung</w:t>
      </w:r>
      <w:r w:rsidR="00D32640">
        <w:t xml:space="preserve"> vor und während des Transports</w:t>
      </w:r>
      <w:r w:rsidRPr="00F66AF7">
        <w:t>.</w:t>
      </w:r>
      <w:r w:rsidR="000723B6">
        <w:rPr>
          <w:rStyle w:val="Funotenzeichen"/>
        </w:rPr>
        <w:footnoteReference w:id="11"/>
      </w:r>
      <w:r w:rsidRPr="00F66AF7">
        <w:t xml:space="preserve"> </w:t>
      </w:r>
      <w:r w:rsidR="002B41F1">
        <w:t xml:space="preserve">Die Verantwortung für diese Mängel wird den polnischen Behörden zugeschoben. </w:t>
      </w:r>
      <w:r w:rsidRPr="00F66AF7">
        <w:t>Die</w:t>
      </w:r>
      <w:r w:rsidR="00D32640">
        <w:t xml:space="preserve"> Defizite </w:t>
      </w:r>
      <w:r w:rsidR="002B41F1">
        <w:t>und die zu erwartenden Folgen</w:t>
      </w:r>
      <w:r w:rsidR="002B41F1" w:rsidRPr="00F66AF7">
        <w:t xml:space="preserve"> </w:t>
      </w:r>
      <w:r w:rsidRPr="00F66AF7">
        <w:t>steh</w:t>
      </w:r>
      <w:r w:rsidR="00D32640">
        <w:t>en</w:t>
      </w:r>
      <w:r w:rsidRPr="00F66AF7">
        <w:t xml:space="preserve"> de</w:t>
      </w:r>
      <w:r w:rsidR="0097254D">
        <w:t>m</w:t>
      </w:r>
      <w:r w:rsidRPr="00F66AF7">
        <w:t xml:space="preserve"> </w:t>
      </w:r>
      <w:r w:rsidR="002B41F1">
        <w:t>Berichterstatter</w:t>
      </w:r>
      <w:r w:rsidRPr="00F66AF7">
        <w:t xml:space="preserve"> </w:t>
      </w:r>
      <w:r w:rsidR="0097254D">
        <w:t xml:space="preserve">deutlich </w:t>
      </w:r>
      <w:r w:rsidRPr="00F66AF7">
        <w:t>vor Augen</w:t>
      </w:r>
      <w:r w:rsidR="002B41F1">
        <w:t xml:space="preserve">, ebenso die organisatorischen Mängel: </w:t>
      </w:r>
      <w:r w:rsidRPr="00F66AF7">
        <w:t>„Ob für die im Säuglingsalter stehenden Kinder Milch ausgegeben wurde, ist mir nicht b</w:t>
      </w:r>
      <w:r w:rsidRPr="00F66AF7">
        <w:t>e</w:t>
      </w:r>
      <w:r w:rsidRPr="00F66AF7">
        <w:t xml:space="preserve">kannt. Fest steht dagegen, </w:t>
      </w:r>
      <w:proofErr w:type="spellStart"/>
      <w:r w:rsidRPr="00F66AF7">
        <w:t>daß</w:t>
      </w:r>
      <w:proofErr w:type="spellEnd"/>
      <w:r w:rsidRPr="00F66AF7">
        <w:t xml:space="preserve"> für die Kinder während des Transportes in keiner Weise g</w:t>
      </w:r>
      <w:r w:rsidRPr="00F66AF7">
        <w:t>e</w:t>
      </w:r>
      <w:r w:rsidRPr="00F66AF7">
        <w:t xml:space="preserve">sorgt wurde. […] Es wird infolge mangelnder Fürsorge an Stroh und Lebensmitteln damit gerechnet werden müssen, </w:t>
      </w:r>
      <w:proofErr w:type="spellStart"/>
      <w:r w:rsidRPr="00F66AF7">
        <w:t>daß</w:t>
      </w:r>
      <w:proofErr w:type="spellEnd"/>
      <w:r w:rsidRPr="00F66AF7">
        <w:t xml:space="preserve"> nicht alle transportierten Personen, insbesondere die Säugli</w:t>
      </w:r>
      <w:r w:rsidRPr="00F66AF7">
        <w:t>n</w:t>
      </w:r>
      <w:r w:rsidRPr="00F66AF7">
        <w:t xml:space="preserve">ge, den Zielbahnhof lebend erreichen.“ Die </w:t>
      </w:r>
      <w:r w:rsidR="000F0815">
        <w:t xml:space="preserve">Aktion wird jedoch </w:t>
      </w:r>
      <w:r w:rsidRPr="00F66AF7">
        <w:t>nicht abgebrochen</w:t>
      </w:r>
      <w:r w:rsidR="000F0815">
        <w:t xml:space="preserve">. </w:t>
      </w:r>
      <w:r w:rsidR="00097A46">
        <w:t>Mit dem Abbruch wäre, wie der Berichterstatter erläutert</w:t>
      </w:r>
      <w:r w:rsidRPr="00F66AF7">
        <w:t>, „ein nicht tragbarer Prestigeverlust der deu</w:t>
      </w:r>
      <w:r w:rsidRPr="00F66AF7">
        <w:t>t</w:t>
      </w:r>
      <w:r w:rsidRPr="00F66AF7">
        <w:t xml:space="preserve">schen Behörden“ </w:t>
      </w:r>
      <w:r w:rsidR="00097A46">
        <w:t>verbunden gewesen</w:t>
      </w:r>
      <w:r w:rsidRPr="00F66AF7">
        <w:t>.</w:t>
      </w:r>
      <w:r w:rsidR="00015DE3">
        <w:t xml:space="preserve"> </w:t>
      </w:r>
      <w:r w:rsidR="00097A46">
        <w:t xml:space="preserve">– </w:t>
      </w:r>
      <w:r w:rsidR="00015DE3">
        <w:t xml:space="preserve">Der Chef einer SS-Reiterschwadron in </w:t>
      </w:r>
      <w:proofErr w:type="spellStart"/>
      <w:r w:rsidR="00015DE3">
        <w:t>Chelm</w:t>
      </w:r>
      <w:proofErr w:type="spellEnd"/>
      <w:r w:rsidR="00015DE3">
        <w:t xml:space="preserve"> </w:t>
      </w:r>
      <w:r w:rsidR="0097254D">
        <w:t>re</w:t>
      </w:r>
      <w:r w:rsidR="0097254D">
        <w:t>a</w:t>
      </w:r>
      <w:r w:rsidR="0097254D">
        <w:t xml:space="preserve">giert auf das Eintreffen eines solchen </w:t>
      </w:r>
      <w:r w:rsidR="00166A4D">
        <w:t>Transport</w:t>
      </w:r>
      <w:r w:rsidR="0097254D">
        <w:t>es</w:t>
      </w:r>
      <w:r w:rsidR="00166A4D">
        <w:t xml:space="preserve"> </w:t>
      </w:r>
      <w:r w:rsidR="0097254D">
        <w:t xml:space="preserve">damit, dass er </w:t>
      </w:r>
      <w:r w:rsidRPr="00F66AF7">
        <w:t xml:space="preserve">veranlasst, die </w:t>
      </w:r>
      <w:r>
        <w:t>„</w:t>
      </w:r>
      <w:r w:rsidRPr="00F66AF7">
        <w:t>verseuchten und verwanzten Juden</w:t>
      </w:r>
      <w:r>
        <w:t>“</w:t>
      </w:r>
      <w:r w:rsidRPr="00F66AF7">
        <w:t xml:space="preserve"> zur Vermeidung von Seuchengefahr </w:t>
      </w:r>
      <w:r w:rsidRPr="00166A4D">
        <w:t>zu erschießen</w:t>
      </w:r>
      <w:r>
        <w:t xml:space="preserve">. </w:t>
      </w:r>
      <w:r w:rsidR="00FD0849">
        <w:t xml:space="preserve">Gemeinsam mit dem Führer der Sicherheitspolizei im Kreis </w:t>
      </w:r>
      <w:proofErr w:type="spellStart"/>
      <w:r w:rsidR="00FD0849">
        <w:t>Chelm</w:t>
      </w:r>
      <w:proofErr w:type="spellEnd"/>
      <w:r w:rsidR="00FD0849">
        <w:t xml:space="preserve"> und dem stellvertretenden Landrat gelangt er zu dem Schluss, </w:t>
      </w:r>
      <w:proofErr w:type="gramStart"/>
      <w:r w:rsidR="00FD0849">
        <w:t>das</w:t>
      </w:r>
      <w:proofErr w:type="gramEnd"/>
      <w:r w:rsidR="00FD0849">
        <w:t xml:space="preserve"> </w:t>
      </w:r>
      <w:r w:rsidR="002B41F1">
        <w:t>jedes</w:t>
      </w:r>
      <w:r w:rsidR="00FD0849">
        <w:t xml:space="preserve"> andere Verhalten „ein Verbrechen wäre“.</w:t>
      </w:r>
      <w:r w:rsidR="00FD0849" w:rsidRPr="00FD0849">
        <w:rPr>
          <w:rStyle w:val="Funotenzeichen"/>
        </w:rPr>
        <w:t xml:space="preserve"> </w:t>
      </w:r>
      <w:r w:rsidR="00FD0849">
        <w:rPr>
          <w:rStyle w:val="Funotenzeichen"/>
        </w:rPr>
        <w:footnoteReference w:id="12"/>
      </w:r>
    </w:p>
    <w:p w:rsidR="00515507" w:rsidRPr="00591CDE" w:rsidRDefault="00166A4D" w:rsidP="00166A4D">
      <w:pPr>
        <w:spacing w:after="0"/>
        <w:ind w:firstLine="708"/>
        <w:jc w:val="both"/>
        <w:rPr>
          <w:i/>
        </w:rPr>
      </w:pPr>
      <w:r>
        <w:t xml:space="preserve">Die Verantwortung für die Repressions- und Verfolgungsmaßnahmen wird delegiert. </w:t>
      </w:r>
      <w:r w:rsidR="00A703F9" w:rsidRPr="00F66AF7">
        <w:t>Heydrich veranlasst in seiner Funktion als Chef der Sicherheitspolizei</w:t>
      </w:r>
      <w:r w:rsidR="00A703F9">
        <w:t xml:space="preserve"> </w:t>
      </w:r>
      <w:r w:rsidR="00A703F9" w:rsidRPr="00F66AF7">
        <w:t xml:space="preserve">am 21. September 1939 </w:t>
      </w:r>
      <w:r w:rsidR="00A703F9">
        <w:t>d</w:t>
      </w:r>
      <w:r w:rsidR="00A703F9" w:rsidRPr="00F66AF7">
        <w:t>ie Bildung Jüdischer Ältestenräte.</w:t>
      </w:r>
      <w:r w:rsidR="00474DE6">
        <w:rPr>
          <w:rStyle w:val="Funotenzeichen"/>
        </w:rPr>
        <w:footnoteReference w:id="13"/>
      </w:r>
      <w:r w:rsidR="00A703F9" w:rsidRPr="00F66AF7">
        <w:t xml:space="preserve"> </w:t>
      </w:r>
      <w:r w:rsidR="00515507" w:rsidRPr="00F66AF7">
        <w:t xml:space="preserve">Auf die Haftung der Judenräte wird </w:t>
      </w:r>
      <w:r w:rsidR="00515507">
        <w:t>fortlaufend</w:t>
      </w:r>
      <w:r w:rsidR="00515507" w:rsidRPr="00F66AF7">
        <w:t xml:space="preserve"> reku</w:t>
      </w:r>
      <w:r w:rsidR="00515507" w:rsidRPr="00F66AF7">
        <w:t>r</w:t>
      </w:r>
      <w:r w:rsidR="00515507" w:rsidRPr="00F66AF7">
        <w:t>riert.</w:t>
      </w:r>
      <w:r w:rsidR="00515507">
        <w:t xml:space="preserve"> </w:t>
      </w:r>
      <w:r w:rsidR="00515507" w:rsidRPr="00F66AF7">
        <w:t xml:space="preserve">Die alternative Haftungsinstanz sind die polnischen Behörden. Für 600 000 Juden aus den annektierten westpolnischen Gebieten sind Unterbringungsmöglichkeiten bereitzustellen: „Für die Unterbringung der Juden in den Distrikten des Generalgouvernements sind im </w:t>
      </w:r>
      <w:proofErr w:type="spellStart"/>
      <w:r w:rsidR="00515507" w:rsidRPr="00F66AF7">
        <w:t>ei</w:t>
      </w:r>
      <w:r w:rsidR="00515507" w:rsidRPr="00F66AF7">
        <w:t>n</w:t>
      </w:r>
      <w:r w:rsidR="00515507" w:rsidRPr="00F66AF7">
        <w:t>zelnen</w:t>
      </w:r>
      <w:proofErr w:type="spellEnd"/>
      <w:r w:rsidR="00515507" w:rsidRPr="00F66AF7">
        <w:t xml:space="preserve"> nicht die Deutschen Verwaltungs- und Polizeibehörden, sondern die polnischen Sta</w:t>
      </w:r>
      <w:r w:rsidR="00515507" w:rsidRPr="00F66AF7">
        <w:t>r</w:t>
      </w:r>
      <w:r w:rsidR="00515507" w:rsidRPr="00F66AF7">
        <w:t>osten und Bürgermeister zuständig, denen die Auflage zu erteilen [ist], die entsprechende A</w:t>
      </w:r>
      <w:r w:rsidR="00515507" w:rsidRPr="00F66AF7">
        <w:t>n</w:t>
      </w:r>
      <w:r w:rsidR="00515507" w:rsidRPr="00F66AF7">
        <w:t>zahl von Juden aufzunehmen.“</w:t>
      </w:r>
      <w:r w:rsidR="00515507">
        <w:rPr>
          <w:rStyle w:val="Funotenzeichen"/>
        </w:rPr>
        <w:footnoteReference w:id="14"/>
      </w:r>
      <w:r w:rsidR="00515507" w:rsidRPr="00F66AF7">
        <w:t xml:space="preserve"> </w:t>
      </w:r>
      <w:r w:rsidR="00515507" w:rsidRPr="009A5C12">
        <w:t>Vernichtungs- und Besatzungspolitik greifen auf diese We</w:t>
      </w:r>
      <w:r w:rsidR="00515507" w:rsidRPr="009A5C12">
        <w:t>i</w:t>
      </w:r>
      <w:r w:rsidR="00515507" w:rsidRPr="009A5C12">
        <w:t>se noch vor Einrichtung der Konzentrationslager ineinander</w:t>
      </w:r>
      <w:r w:rsidR="00515507" w:rsidRPr="00591CDE">
        <w:rPr>
          <w:i/>
        </w:rPr>
        <w:t>.</w:t>
      </w:r>
    </w:p>
    <w:p w:rsidR="00515507" w:rsidRDefault="00515507" w:rsidP="00515507">
      <w:pPr>
        <w:spacing w:after="0"/>
        <w:jc w:val="both"/>
      </w:pPr>
    </w:p>
    <w:p w:rsidR="00515507" w:rsidRDefault="00515507" w:rsidP="00515507">
      <w:pPr>
        <w:spacing w:after="0"/>
        <w:jc w:val="both"/>
      </w:pPr>
      <w:r>
        <w:tab/>
      </w:r>
      <w:r w:rsidR="00166A4D">
        <w:t>Vom Exil w</w:t>
      </w:r>
      <w:r w:rsidR="005536F6">
        <w:t>i</w:t>
      </w:r>
      <w:r w:rsidR="00166A4D">
        <w:t>rd d</w:t>
      </w:r>
      <w:r>
        <w:t>ie ständige Verschärfung der antisemitischen Verfolgungsmaßna</w:t>
      </w:r>
      <w:r>
        <w:t>h</w:t>
      </w:r>
      <w:r>
        <w:t>men</w:t>
      </w:r>
      <w:r w:rsidR="00166A4D">
        <w:t xml:space="preserve"> mit Schrecken re</w:t>
      </w:r>
      <w:r>
        <w:t xml:space="preserve">gistriert. Erkennbar wird das anhand der </w:t>
      </w:r>
      <w:r>
        <w:rPr>
          <w:i/>
        </w:rPr>
        <w:t>Deutschland-</w:t>
      </w:r>
      <w:r w:rsidRPr="00790789">
        <w:rPr>
          <w:i/>
        </w:rPr>
        <w:t>Berichte der S</w:t>
      </w:r>
      <w:r w:rsidRPr="00790789">
        <w:rPr>
          <w:i/>
        </w:rPr>
        <w:t>o</w:t>
      </w:r>
      <w:r w:rsidRPr="00790789">
        <w:rPr>
          <w:i/>
        </w:rPr>
        <w:lastRenderedPageBreak/>
        <w:t>zialdemokratischen Partei Deutschlands (</w:t>
      </w:r>
      <w:proofErr w:type="spellStart"/>
      <w:r w:rsidRPr="00790789">
        <w:rPr>
          <w:i/>
        </w:rPr>
        <w:t>Sopade</w:t>
      </w:r>
      <w:proofErr w:type="spellEnd"/>
      <w:r w:rsidRPr="00790789">
        <w:rPr>
          <w:i/>
        </w:rPr>
        <w:t>)</w:t>
      </w:r>
      <w:r>
        <w:t xml:space="preserve">. Der verantwortliche Redakteur </w:t>
      </w:r>
      <w:r w:rsidR="00166A4D">
        <w:t>der Beric</w:t>
      </w:r>
      <w:r w:rsidR="00166A4D">
        <w:t>h</w:t>
      </w:r>
      <w:r w:rsidR="00166A4D">
        <w:t xml:space="preserve">te </w:t>
      </w:r>
      <w:r>
        <w:t xml:space="preserve">ist Erich </w:t>
      </w:r>
      <w:proofErr w:type="spellStart"/>
      <w:r>
        <w:t>Rinner</w:t>
      </w:r>
      <w:proofErr w:type="spellEnd"/>
      <w:r>
        <w:t>.</w:t>
      </w:r>
      <w:r>
        <w:rPr>
          <w:rStyle w:val="Funotenzeichen"/>
        </w:rPr>
        <w:footnoteReference w:id="15"/>
      </w:r>
      <w:r>
        <w:t xml:space="preserve"> 1937 rückt er in der umfangreichen </w:t>
      </w:r>
      <w:r w:rsidR="00166A4D">
        <w:t>Übersichtsr</w:t>
      </w:r>
      <w:r>
        <w:t>ubrik „Der Terror“ den „Terror gegen die Juden“ a</w:t>
      </w:r>
      <w:r w:rsidR="001D1AA5">
        <w:t>n</w:t>
      </w:r>
      <w:r>
        <w:t xml:space="preserve"> die vorderste Stelle. </w:t>
      </w:r>
      <w:r w:rsidR="00596B8A">
        <w:t xml:space="preserve">Noch ist der Tenor aber vergleichsweise vorsichtig: </w:t>
      </w:r>
    </w:p>
    <w:p w:rsidR="00515507" w:rsidRDefault="00515507" w:rsidP="00515507">
      <w:pPr>
        <w:spacing w:after="0"/>
        <w:ind w:left="1134"/>
        <w:jc w:val="both"/>
      </w:pPr>
      <w:r>
        <w:t xml:space="preserve">„Der antisemitische Terror hat sich während der Berichtszeit weiter verschärft. Ämter, Parteistellen, Gerichte und Polizei wetteifern darin, die wehrlosen Juden zu verfolgen und zu quälen. </w:t>
      </w:r>
      <w:proofErr w:type="spellStart"/>
      <w:r>
        <w:t>Läßt</w:t>
      </w:r>
      <w:proofErr w:type="spellEnd"/>
      <w:r>
        <w:t xml:space="preserve"> irgendeine Amtsstelle auch nur ein wenig Milde walten, so fährt sofort die Parteipresse dazwischen – mit dem </w:t>
      </w:r>
      <w:r w:rsidR="009A5C12">
        <w:t>‚</w:t>
      </w:r>
      <w:r>
        <w:t>Stürmer</w:t>
      </w:r>
      <w:r w:rsidR="009A5C12">
        <w:t>‘</w:t>
      </w:r>
      <w:r>
        <w:t xml:space="preserve"> an der Spitze – und prangert die lässigen Richter, Beamten und Volksgenossen an.</w:t>
      </w:r>
    </w:p>
    <w:p w:rsidR="00515507" w:rsidRPr="00E0465B" w:rsidRDefault="00515507" w:rsidP="00515507">
      <w:pPr>
        <w:spacing w:after="0"/>
        <w:ind w:left="1134"/>
        <w:jc w:val="both"/>
      </w:pPr>
      <w:r>
        <w:t xml:space="preserve">Die Annahme, Deutschland wolle ‚alle Juden loswerden‘, bestätigt sich indes nicht mehr lückenlos. Wohl wird die </w:t>
      </w:r>
      <w:r>
        <w:rPr>
          <w:i/>
        </w:rPr>
        <w:t xml:space="preserve">jüdische Auswanderung </w:t>
      </w:r>
      <w:r>
        <w:t xml:space="preserve">im </w:t>
      </w:r>
      <w:proofErr w:type="gramStart"/>
      <w:r>
        <w:t>allgemeinen</w:t>
      </w:r>
      <w:proofErr w:type="gramEnd"/>
      <w:r>
        <w:t xml:space="preserve"> recht</w:t>
      </w:r>
      <w:r>
        <w:rPr>
          <w:i/>
        </w:rPr>
        <w:t xml:space="preserve"> </w:t>
      </w:r>
      <w:r w:rsidRPr="001273B7">
        <w:t>g</w:t>
      </w:r>
      <w:r>
        <w:t xml:space="preserve">ern gesehen, sofern der weitaus größte Teil des Vermögens zurückbleibt. […] Aber der Kräftemangel in gewissen Berufszweigen bringt es mit sich, </w:t>
      </w:r>
      <w:proofErr w:type="spellStart"/>
      <w:r>
        <w:t>daß</w:t>
      </w:r>
      <w:proofErr w:type="spellEnd"/>
      <w:r>
        <w:t xml:space="preserve"> man sich auch die jüdischen Qualitätsleistungen für den ‚Ernstfall‘ zu sichern sucht. Jüdischen Facharbeitern, jüdischen Technikern und Ärzten wird – wie ve</w:t>
      </w:r>
      <w:r>
        <w:t>r</w:t>
      </w:r>
      <w:r>
        <w:t>schiedene Berichterstatter melden – immer häufiger die Ausreisebewilligung ve</w:t>
      </w:r>
      <w:r>
        <w:t>r</w:t>
      </w:r>
      <w:r>
        <w:t>weigert. Und zwar mit der Begründung, sie würden ‚noch gebraucht werden‘.“</w:t>
      </w:r>
      <w:r>
        <w:rPr>
          <w:rStyle w:val="Funotenzeichen"/>
        </w:rPr>
        <w:footnoteReference w:id="16"/>
      </w:r>
      <w:r>
        <w:t xml:space="preserve"> </w:t>
      </w:r>
    </w:p>
    <w:p w:rsidR="00515507" w:rsidRDefault="00515507" w:rsidP="00515507">
      <w:pPr>
        <w:spacing w:after="0"/>
        <w:jc w:val="both"/>
      </w:pPr>
      <w:r>
        <w:t>Im November 1937 wird ein Rückgang de</w:t>
      </w:r>
      <w:r w:rsidR="00123C73">
        <w:t>r</w:t>
      </w:r>
      <w:r>
        <w:t xml:space="preserve"> antisemitischen </w:t>
      </w:r>
      <w:r w:rsidR="00123C73">
        <w:t>Maßnahmen</w:t>
      </w:r>
      <w:r>
        <w:t xml:space="preserve"> registriert. Die </w:t>
      </w:r>
      <w:r w:rsidR="009D0F2B">
        <w:t>Ve</w:t>
      </w:r>
      <w:r w:rsidR="009D0F2B">
        <w:t>r</w:t>
      </w:r>
      <w:r w:rsidR="009D0F2B">
        <w:t>änder</w:t>
      </w:r>
      <w:r>
        <w:t xml:space="preserve">ung wird mit </w:t>
      </w:r>
      <w:r w:rsidR="00596B8A">
        <w:t>der</w:t>
      </w:r>
      <w:r>
        <w:t xml:space="preserve"> </w:t>
      </w:r>
      <w:r w:rsidR="009D0F2B">
        <w:t>angespannte</w:t>
      </w:r>
      <w:r w:rsidR="00596B8A">
        <w:t>n</w:t>
      </w:r>
      <w:r w:rsidR="009D0F2B">
        <w:t xml:space="preserve"> </w:t>
      </w:r>
      <w:r>
        <w:t>wirtschaftliche</w:t>
      </w:r>
      <w:r w:rsidR="00596B8A">
        <w:t>n</w:t>
      </w:r>
      <w:r>
        <w:t xml:space="preserve"> </w:t>
      </w:r>
      <w:r w:rsidR="009D0F2B">
        <w:t>Lage des Dritten Reiches</w:t>
      </w:r>
      <w:r>
        <w:t xml:space="preserve"> </w:t>
      </w:r>
      <w:r w:rsidR="00596B8A">
        <w:t>erklä</w:t>
      </w:r>
      <w:r>
        <w:t xml:space="preserve">rt. Das Gesamturteil ist </w:t>
      </w:r>
      <w:r w:rsidR="00596B8A">
        <w:t>trotzdem</w:t>
      </w:r>
      <w:r>
        <w:t xml:space="preserve"> eindeutig</w:t>
      </w:r>
      <w:r w:rsidR="00596B8A">
        <w:t>.</w:t>
      </w:r>
      <w:r>
        <w:t xml:space="preserve"> </w:t>
      </w:r>
      <w:proofErr w:type="spellStart"/>
      <w:r>
        <w:t>Rinner</w:t>
      </w:r>
      <w:proofErr w:type="spellEnd"/>
      <w:r>
        <w:t xml:space="preserve"> kommt zu dem Schluss, dass die Juden zielgeric</w:t>
      </w:r>
      <w:r>
        <w:t>h</w:t>
      </w:r>
      <w:r>
        <w:t xml:space="preserve">tet aus dem beruflichen Leben verdrängt werden sollen: </w:t>
      </w:r>
    </w:p>
    <w:p w:rsidR="00515507" w:rsidRDefault="00515507" w:rsidP="00515507">
      <w:pPr>
        <w:spacing w:after="0"/>
        <w:ind w:left="1134"/>
        <w:jc w:val="both"/>
      </w:pPr>
      <w:r>
        <w:t>„</w:t>
      </w:r>
      <w:proofErr w:type="spellStart"/>
      <w:r>
        <w:t>Daß</w:t>
      </w:r>
      <w:proofErr w:type="spellEnd"/>
      <w:r>
        <w:t xml:space="preserve"> auf dem diesjährigen Nürnberger Parteitag keine neuen Gesetze gegen die Juden verkündet wurden, hat im Ausland vielfach die irrige Auffassung geweckt, die Judenhetze sei im Dritten Reich etwas in den Hintergrund getreten, man habe ‚andere Sorgen‘. In Wahrheit hat gerade das Anwachsen dieser anderen Sorgen, haben wirtschaftlicher Niedergang und </w:t>
      </w:r>
      <w:proofErr w:type="spellStart"/>
      <w:r>
        <w:t>Mißstimmung</w:t>
      </w:r>
      <w:proofErr w:type="spellEnd"/>
      <w:r>
        <w:t xml:space="preserve"> das Regime </w:t>
      </w:r>
      <w:proofErr w:type="spellStart"/>
      <w:r>
        <w:t>veranlaßt</w:t>
      </w:r>
      <w:proofErr w:type="spellEnd"/>
      <w:r>
        <w:t>, die Bedrückung des jüdischen Bevölkerungsteils weiter zu verschärfen. Es bedarf d</w:t>
      </w:r>
      <w:r>
        <w:t>a</w:t>
      </w:r>
      <w:r>
        <w:t>zu kaum noch neuer Gesetze; die bestehenden Verordnungen und Erlasse, die vo</w:t>
      </w:r>
      <w:r>
        <w:t>r</w:t>
      </w:r>
      <w:r>
        <w:t>liegenden prinzipiellen Entscheidungen höchster Instanzen reichen aus, um alle im Augenblick geplanten antisemitischen Maßnahmen zu begründen.</w:t>
      </w:r>
    </w:p>
    <w:p w:rsidR="00515507" w:rsidRDefault="00515507" w:rsidP="00515507">
      <w:pPr>
        <w:spacing w:after="0"/>
        <w:ind w:left="1134"/>
        <w:jc w:val="both"/>
      </w:pPr>
      <w:r>
        <w:t xml:space="preserve">Auch nur den nötigsten Lebensunterhalt zu verdienen, wird für die Mehrzahl der Juden immer schwerer, die </w:t>
      </w:r>
      <w:r>
        <w:rPr>
          <w:i/>
        </w:rPr>
        <w:t xml:space="preserve">Verdrängung aus allen Berufen </w:t>
      </w:r>
      <w:r>
        <w:t>nimmt ihren For</w:t>
      </w:r>
      <w:r>
        <w:t>t</w:t>
      </w:r>
      <w:r>
        <w:t>gang.“</w:t>
      </w:r>
      <w:r>
        <w:rPr>
          <w:rStyle w:val="Funotenzeichen"/>
        </w:rPr>
        <w:footnoteReference w:id="17"/>
      </w:r>
      <w:r>
        <w:t xml:space="preserve"> </w:t>
      </w:r>
    </w:p>
    <w:p w:rsidR="00515507" w:rsidRDefault="00515507" w:rsidP="00515507">
      <w:pPr>
        <w:spacing w:after="0"/>
        <w:jc w:val="both"/>
      </w:pPr>
      <w:r>
        <w:t xml:space="preserve">Im Februar-Heft 1938 ist dem „Terror gegen die Juden“ </w:t>
      </w:r>
      <w:r w:rsidR="009D0F2B">
        <w:t xml:space="preserve">erneut </w:t>
      </w:r>
      <w:r>
        <w:t xml:space="preserve">ein </w:t>
      </w:r>
      <w:r w:rsidR="009D0F2B">
        <w:t>eigen</w:t>
      </w:r>
      <w:r>
        <w:t>er Abschnitt gewi</w:t>
      </w:r>
      <w:r>
        <w:t>d</w:t>
      </w:r>
      <w:r>
        <w:t>met.</w:t>
      </w:r>
      <w:r w:rsidR="009D0F2B">
        <w:rPr>
          <w:rStyle w:val="Funotenzeichen"/>
        </w:rPr>
        <w:footnoteReference w:id="18"/>
      </w:r>
      <w:r>
        <w:t xml:space="preserve"> </w:t>
      </w:r>
      <w:r w:rsidR="009D0F2B">
        <w:t xml:space="preserve">Dabei </w:t>
      </w:r>
      <w:r>
        <w:t xml:space="preserve">wird </w:t>
      </w:r>
      <w:r w:rsidR="00596B8A">
        <w:t xml:space="preserve">auch </w:t>
      </w:r>
      <w:r>
        <w:t xml:space="preserve">eine klare Aussage über die Zielsetzung der nationalsozialistischen Politik formuliert: </w:t>
      </w:r>
    </w:p>
    <w:p w:rsidR="00515507" w:rsidRDefault="00515507" w:rsidP="009D0F2B">
      <w:pPr>
        <w:spacing w:after="0"/>
        <w:ind w:left="1134"/>
        <w:jc w:val="both"/>
      </w:pPr>
      <w:r>
        <w:t xml:space="preserve">„Wir haben zuletzt in Heft 11/1937 […] eine zusammenfassende Darstellung der antisemitischen Aktionen gegeben. Seither hat sich die Lage der deutschen Juden weiter erheblich verschlechtert. […] Das Ziel ist, den Juden in Deutschland jede </w:t>
      </w:r>
      <w:r>
        <w:lastRenderedPageBreak/>
        <w:t>Existenzgrundlage zu entziehen, eine möglichst große Zahl vor allem jüngerer J</w:t>
      </w:r>
      <w:r>
        <w:t>u</w:t>
      </w:r>
      <w:r>
        <w:t>den zur Auswanderung zu veranlassen und sich der Vermögen zu bemächtigen.“ (S. 176)</w:t>
      </w:r>
    </w:p>
    <w:p w:rsidR="00515507" w:rsidRDefault="00515507" w:rsidP="00515507">
      <w:pPr>
        <w:spacing w:after="0"/>
        <w:jc w:val="both"/>
      </w:pPr>
      <w:r>
        <w:t xml:space="preserve">Die Vorgänge, die sich in Österreich im Zusammenhang des „Anschlusses“ vollziehen, wertet </w:t>
      </w:r>
      <w:proofErr w:type="spellStart"/>
      <w:r>
        <w:t>Rinner</w:t>
      </w:r>
      <w:proofErr w:type="spellEnd"/>
      <w:r>
        <w:t xml:space="preserve"> als </w:t>
      </w:r>
      <w:r w:rsidR="009D0F2B">
        <w:t xml:space="preserve">einen Wendepunkt der nationalsozialistischen Judenpolitik: als </w:t>
      </w:r>
      <w:r>
        <w:t>Schritt in Richtung auf eine „völlige Vertreibung der Juden“</w:t>
      </w:r>
      <w:r w:rsidR="009D0F2B">
        <w:t xml:space="preserve"> hin:</w:t>
      </w:r>
    </w:p>
    <w:p w:rsidR="00515507" w:rsidRDefault="00515507" w:rsidP="0075050F">
      <w:pPr>
        <w:spacing w:after="0"/>
        <w:ind w:left="1134"/>
        <w:jc w:val="both"/>
      </w:pPr>
      <w:r>
        <w:t xml:space="preserve">„Das Schicksal der deutschen Juden ist seit der Angliederung Österreichs in ein neues Stadium getreten. Die Nationalsozialisten haben aus den österreichischen Erfahrungen den </w:t>
      </w:r>
      <w:proofErr w:type="spellStart"/>
      <w:r>
        <w:t>Schluß</w:t>
      </w:r>
      <w:proofErr w:type="spellEnd"/>
      <w:r>
        <w:t xml:space="preserve"> gezogen, </w:t>
      </w:r>
      <w:proofErr w:type="spellStart"/>
      <w:r>
        <w:t>daß</w:t>
      </w:r>
      <w:proofErr w:type="spellEnd"/>
      <w:r>
        <w:t xml:space="preserve"> ein rasches Vorantreiben der Judenverfo</w:t>
      </w:r>
      <w:r>
        <w:t>l</w:t>
      </w:r>
      <w:r>
        <w:t xml:space="preserve">gungen dem System nicht schaden könne, </w:t>
      </w:r>
      <w:proofErr w:type="spellStart"/>
      <w:r>
        <w:t>daß</w:t>
      </w:r>
      <w:proofErr w:type="spellEnd"/>
      <w:r>
        <w:t xml:space="preserve"> die Entfesselung aller antisemit</w:t>
      </w:r>
      <w:r>
        <w:t>i</w:t>
      </w:r>
      <w:r>
        <w:t>schen Instinkte in den Reihen der Anhängerschaft, die Duldung offenen Pogroms weder wirtschaftliche Schwierigkeiten noch einen erheblichen Prestigeverlust in der Welt nach sich ziehe. Von dieser Vorstellung geleitet, […] bringt das Regime die Wiener Methoden rücksichtslos auch im alten Reich zur Anwendung.“</w:t>
      </w:r>
      <w:r w:rsidR="009D0F2B">
        <w:rPr>
          <w:rStyle w:val="Funotenzeichen"/>
        </w:rPr>
        <w:footnoteReference w:id="19"/>
      </w:r>
    </w:p>
    <w:p w:rsidR="00515507" w:rsidRPr="0075050F" w:rsidRDefault="0075050F" w:rsidP="00515507">
      <w:pPr>
        <w:spacing w:after="0"/>
        <w:jc w:val="both"/>
      </w:pPr>
      <w:proofErr w:type="spellStart"/>
      <w:r w:rsidRPr="0075050F">
        <w:t>Ri</w:t>
      </w:r>
      <w:r>
        <w:t>nner</w:t>
      </w:r>
      <w:proofErr w:type="spellEnd"/>
      <w:r>
        <w:t xml:space="preserve"> geht auch auf Details der Besetzung ein:</w:t>
      </w:r>
    </w:p>
    <w:p w:rsidR="00515507" w:rsidRDefault="00515507" w:rsidP="001A03CF">
      <w:pPr>
        <w:spacing w:after="0"/>
        <w:ind w:left="1134"/>
        <w:jc w:val="both"/>
      </w:pPr>
      <w:r>
        <w:t>„Allein in den ersten drei Tagen nach der Angliederung wurden etwa 500 Verha</w:t>
      </w:r>
      <w:r>
        <w:t>f</w:t>
      </w:r>
      <w:r>
        <w:t>tungen vorgenommen. […] Im Laufe der Zeit erfolgten Freilassungen, aber auch Überführungen nach Dachau. “ (</w:t>
      </w:r>
      <w:r w:rsidR="0075050F">
        <w:t xml:space="preserve">S. </w:t>
      </w:r>
      <w:r>
        <w:t xml:space="preserve">735 f.) </w:t>
      </w:r>
    </w:p>
    <w:p w:rsidR="00515507" w:rsidRDefault="00515507" w:rsidP="001A03CF">
      <w:pPr>
        <w:spacing w:after="0"/>
        <w:ind w:left="1134"/>
        <w:jc w:val="both"/>
      </w:pPr>
      <w:r>
        <w:t xml:space="preserve">„Gleichzeitig wurde den Juden die Auswanderung dadurch unmöglich gemacht, </w:t>
      </w:r>
      <w:proofErr w:type="spellStart"/>
      <w:r>
        <w:t>daß</w:t>
      </w:r>
      <w:proofErr w:type="spellEnd"/>
      <w:r>
        <w:t xml:space="preserve"> man ihnen die Pässe abnahm. Inzwischen sind 30 000 Auswandererpässe b</w:t>
      </w:r>
      <w:r>
        <w:t>e</w:t>
      </w:r>
      <w:r>
        <w:t>willigt worden. Aber es ist schwer, die Einreiseerlaubnis in andere Länder zu e</w:t>
      </w:r>
      <w:r>
        <w:t>r</w:t>
      </w:r>
      <w:r>
        <w:t>halten. Bei der Kultusgemeinde sind bis jetzt 80 000 Menschen für die Auswand</w:t>
      </w:r>
      <w:r>
        <w:t>e</w:t>
      </w:r>
      <w:r>
        <w:t>rung registriert, beim Palästinaamt ca. 10 000.“ (</w:t>
      </w:r>
      <w:r w:rsidR="0075050F">
        <w:t xml:space="preserve">S. </w:t>
      </w:r>
      <w:r>
        <w:t>739)</w:t>
      </w:r>
    </w:p>
    <w:p w:rsidR="00515507" w:rsidRPr="0075050F" w:rsidRDefault="0075050F" w:rsidP="0075050F">
      <w:pPr>
        <w:spacing w:after="0"/>
        <w:jc w:val="both"/>
      </w:pPr>
      <w:r>
        <w:t xml:space="preserve">Verschiedenen Aspekten der antisemitischen Verfolgung steht </w:t>
      </w:r>
      <w:proofErr w:type="spellStart"/>
      <w:r>
        <w:t>Rinner</w:t>
      </w:r>
      <w:proofErr w:type="spellEnd"/>
      <w:r>
        <w:t xml:space="preserve"> mehr oder weniger hilf- wie ratlos gegenüber. Erklärung</w:t>
      </w:r>
      <w:r w:rsidR="00990702">
        <w:t>en</w:t>
      </w:r>
      <w:r>
        <w:t xml:space="preserve"> sind für ihn nur schwer möglich:</w:t>
      </w:r>
    </w:p>
    <w:p w:rsidR="00515507" w:rsidRDefault="00515507" w:rsidP="0075050F">
      <w:pPr>
        <w:spacing w:after="0"/>
        <w:ind w:left="1134"/>
        <w:jc w:val="both"/>
      </w:pPr>
      <w:r>
        <w:t xml:space="preserve">„Die Frage nach den </w:t>
      </w:r>
      <w:r w:rsidRPr="00AE2A71">
        <w:rPr>
          <w:i/>
        </w:rPr>
        <w:t>Beweggründen</w:t>
      </w:r>
      <w:r>
        <w:t xml:space="preserve"> der neuen, mit maßloser Brutalität durchg</w:t>
      </w:r>
      <w:r>
        <w:t>e</w:t>
      </w:r>
      <w:r>
        <w:t xml:space="preserve">führten Judenverfolgung, ist schwer zu beantworten. Richtig ist, </w:t>
      </w:r>
      <w:proofErr w:type="spellStart"/>
      <w:r>
        <w:t>daß</w:t>
      </w:r>
      <w:proofErr w:type="spellEnd"/>
      <w:r>
        <w:t xml:space="preserve"> die Diktatur, um ihre Propagandamaschinerie in Schwung zu halten und die wachsenden wir</w:t>
      </w:r>
      <w:r>
        <w:t>t</w:t>
      </w:r>
      <w:r>
        <w:t>schaftlichen Schwierigkeiten zu erklären, einen Feind braucht. Nichts ist bequ</w:t>
      </w:r>
      <w:r>
        <w:t>e</w:t>
      </w:r>
      <w:r>
        <w:t>mer und gefahrloser, als ‚</w:t>
      </w:r>
      <w:proofErr w:type="spellStart"/>
      <w:r>
        <w:t>Alljuda</w:t>
      </w:r>
      <w:proofErr w:type="spellEnd"/>
      <w:r>
        <w:t>‘ als diesen Feind hinzustellen. Aber diese Erkl</w:t>
      </w:r>
      <w:r>
        <w:t>ä</w:t>
      </w:r>
      <w:r>
        <w:t>rung reicht nicht aus […]. Vielmehr scheint es das Regime auf die völlige Ve</w:t>
      </w:r>
      <w:r>
        <w:t>r</w:t>
      </w:r>
      <w:r>
        <w:t>treibung der Juden abgesehen zu haben.“ (</w:t>
      </w:r>
      <w:r w:rsidR="0075050F">
        <w:t xml:space="preserve">S. </w:t>
      </w:r>
      <w:r w:rsidRPr="0075050F">
        <w:t>739)</w:t>
      </w:r>
    </w:p>
    <w:p w:rsidR="00515507" w:rsidRPr="00A97EB1" w:rsidRDefault="00515507" w:rsidP="0075050F">
      <w:pPr>
        <w:spacing w:after="0"/>
        <w:ind w:left="1134"/>
        <w:jc w:val="both"/>
      </w:pPr>
      <w:r>
        <w:t xml:space="preserve">„Man wird sich damit abfinden müssen, </w:t>
      </w:r>
      <w:proofErr w:type="spellStart"/>
      <w:r>
        <w:t>daß</w:t>
      </w:r>
      <w:proofErr w:type="spellEnd"/>
      <w:r>
        <w:t xml:space="preserve"> die Suche nach rein rationalen B</w:t>
      </w:r>
      <w:r>
        <w:t>e</w:t>
      </w:r>
      <w:r>
        <w:t xml:space="preserve">weggründen an eine Grenze stößt. Einige der Gesetze und Verfügungen, die wir im </w:t>
      </w:r>
      <w:proofErr w:type="spellStart"/>
      <w:proofErr w:type="gramStart"/>
      <w:r>
        <w:t>folgenden</w:t>
      </w:r>
      <w:proofErr w:type="spellEnd"/>
      <w:proofErr w:type="gramEnd"/>
      <w:r>
        <w:t xml:space="preserve"> aufzählen, können nur von einem wütenden </w:t>
      </w:r>
      <w:proofErr w:type="spellStart"/>
      <w:r>
        <w:t>Rassenhaß</w:t>
      </w:r>
      <w:proofErr w:type="spellEnd"/>
      <w:r>
        <w:t xml:space="preserve"> diktiert sein, der sich jeder vernunftmäßigen Deutung entzieht. Die Sucht, ohne </w:t>
      </w:r>
      <w:proofErr w:type="spellStart"/>
      <w:r>
        <w:t>Unterlaß</w:t>
      </w:r>
      <w:proofErr w:type="spellEnd"/>
      <w:r>
        <w:t xml:space="preserve"> auf Besiegte und Wehrlose einzuschlagen, eine Sucht, die der Nationalsozialismus übrigens nicht nur den Juden gegenüber an den Tag legt, ist für den objektiven Beobachter </w:t>
      </w:r>
      <w:proofErr w:type="spellStart"/>
      <w:r>
        <w:t>unfaßbar</w:t>
      </w:r>
      <w:proofErr w:type="spellEnd"/>
      <w:r>
        <w:t>. Es bleibt nichts anderes übrig, als ihr Vorhandensein festz</w:t>
      </w:r>
      <w:r>
        <w:t>u</w:t>
      </w:r>
      <w:r>
        <w:t>stellen, und ihre jeweiligen Wirkungen zu registrieren.“ (</w:t>
      </w:r>
      <w:r w:rsidR="00990702">
        <w:t xml:space="preserve">S. </w:t>
      </w:r>
      <w:r>
        <w:t>740)</w:t>
      </w:r>
    </w:p>
    <w:p w:rsidR="00515507" w:rsidRDefault="00BD4428" w:rsidP="00515507">
      <w:pPr>
        <w:spacing w:after="0"/>
        <w:jc w:val="both"/>
      </w:pPr>
      <w:r>
        <w:t xml:space="preserve">Ausführlich geht </w:t>
      </w:r>
      <w:proofErr w:type="spellStart"/>
      <w:r>
        <w:t>Rinner</w:t>
      </w:r>
      <w:proofErr w:type="spellEnd"/>
      <w:r>
        <w:t xml:space="preserve"> auf die Novemberpogrome ein:</w:t>
      </w:r>
    </w:p>
    <w:p w:rsidR="00515507" w:rsidRDefault="00515507" w:rsidP="00BD4428">
      <w:pPr>
        <w:spacing w:after="0"/>
        <w:ind w:left="1134"/>
        <w:jc w:val="both"/>
      </w:pPr>
      <w:r>
        <w:t>„Der Vernichtungsfeldzug gegen die deutschen Juden ist allen Anzeichen nach in sein letztes Stadium eingetreten. Indem wir in diesen Berichten die neuen geset</w:t>
      </w:r>
      <w:r>
        <w:t>z</w:t>
      </w:r>
      <w:r>
        <w:lastRenderedPageBreak/>
        <w:t>geberischen und polizeilichen Maßnahmen gegen die Juden wenigstens in großen Umrissen aufführen, setzen wir eine Chronik fort, die mit den Anfängen der nat</w:t>
      </w:r>
      <w:r>
        <w:t>i</w:t>
      </w:r>
      <w:r>
        <w:t xml:space="preserve">onalsozialistischen Diktatur begonnen und seither ständig ergänzt worden ist. Wenn man heute fragt, welche Rechte den deutschen Juden noch geblieben sind, so kann die Antwort nur lauten: keine. Nicht das Recht auf Wohnung, </w:t>
      </w:r>
      <w:r w:rsidR="00B66AD9">
        <w:t>– d</w:t>
      </w:r>
      <w:r>
        <w:t xml:space="preserve">eutsche Gerichte haben mehrfach entschieden, </w:t>
      </w:r>
      <w:proofErr w:type="spellStart"/>
      <w:r>
        <w:t>daß</w:t>
      </w:r>
      <w:proofErr w:type="spellEnd"/>
      <w:r>
        <w:t xml:space="preserve"> die Hausgemeinschaft mit jüdischen Mietern den arischen Hausbewohnern nicht zugemutet werden können – nicht das Recht auf Nahrung – in zahlreichen Orten ist der Lebensmittelverkauf an Juden verboten – nicht das Recht auf Arbeit – die Juden sind nach und nach aus allen Berufen entfernt worden – nicht das Recht auf kärglichsten Besitz, auf körperliche Integrität, auf Verteidigung gegen gesetzlose Angriffe, nicht einmal das Recht d</w:t>
      </w:r>
      <w:r>
        <w:t>a</w:t>
      </w:r>
      <w:r>
        <w:t xml:space="preserve">rauf, das Land mit einem ordnungsgemäßen </w:t>
      </w:r>
      <w:proofErr w:type="spellStart"/>
      <w:r>
        <w:t>Paß</w:t>
      </w:r>
      <w:proofErr w:type="spellEnd"/>
      <w:r>
        <w:t xml:space="preserve"> und eigenen Reisemitteln zu ve</w:t>
      </w:r>
      <w:r>
        <w:t>r</w:t>
      </w:r>
      <w:r>
        <w:t>lassen.“</w:t>
      </w:r>
      <w:r w:rsidR="00990702" w:rsidRPr="00990702">
        <w:t xml:space="preserve"> </w:t>
      </w:r>
      <w:r w:rsidR="00990702">
        <w:t>(S. 1177 f.)</w:t>
      </w:r>
    </w:p>
    <w:p w:rsidR="00515507" w:rsidRDefault="00BD4428" w:rsidP="00515507">
      <w:pPr>
        <w:spacing w:after="0"/>
        <w:jc w:val="both"/>
      </w:pPr>
      <w:r>
        <w:t xml:space="preserve">Für </w:t>
      </w:r>
      <w:proofErr w:type="spellStart"/>
      <w:r>
        <w:t>Rinner</w:t>
      </w:r>
      <w:proofErr w:type="spellEnd"/>
      <w:r>
        <w:t xml:space="preserve"> steht fest, dass der </w:t>
      </w:r>
      <w:proofErr w:type="spellStart"/>
      <w:r>
        <w:t>Grynszpan</w:t>
      </w:r>
      <w:proofErr w:type="spellEnd"/>
      <w:r>
        <w:t>-Mord nicht der Anlass der Pogrome gewesen ist, sondern nur als Vorwand diente, um Tempo und Ausmaß der Juden-Verfolgungen zu intens</w:t>
      </w:r>
      <w:r>
        <w:t>i</w:t>
      </w:r>
      <w:r>
        <w:t>vieren:</w:t>
      </w:r>
    </w:p>
    <w:p w:rsidR="00515507" w:rsidRDefault="00515507" w:rsidP="00BD4428">
      <w:pPr>
        <w:spacing w:after="0"/>
        <w:ind w:left="1134"/>
        <w:jc w:val="both"/>
      </w:pPr>
      <w:r>
        <w:t xml:space="preserve">„Das Regime hat versucht, im Ausland den Eindruck zu erwecken, als seien die seit dem 10. November tobenden Pogrome die Folgeerscheinungen des </w:t>
      </w:r>
      <w:proofErr w:type="spellStart"/>
      <w:r>
        <w:t>Gryns</w:t>
      </w:r>
      <w:r>
        <w:t>z</w:t>
      </w:r>
      <w:r>
        <w:t>pan</w:t>
      </w:r>
      <w:proofErr w:type="spellEnd"/>
      <w:r>
        <w:t>-Mordes. In Wahrheit wurde seither nur das Tempo beschleunigt und jede Rücksicht auf das Ausland fallen gelassen.“ (</w:t>
      </w:r>
      <w:r w:rsidR="00BD4428">
        <w:t xml:space="preserve">S. </w:t>
      </w:r>
      <w:r>
        <w:t>1181)</w:t>
      </w:r>
    </w:p>
    <w:p w:rsidR="00515507" w:rsidRDefault="00BD4428" w:rsidP="00515507">
      <w:pPr>
        <w:spacing w:after="0"/>
        <w:jc w:val="both"/>
      </w:pPr>
      <w:r>
        <w:t xml:space="preserve">Dem Bericht „Die Judenverfolgungen“ vom </w:t>
      </w:r>
      <w:r w:rsidR="00515507" w:rsidRPr="00BD4428">
        <w:t>Feb</w:t>
      </w:r>
      <w:r>
        <w:t>ruar</w:t>
      </w:r>
      <w:r w:rsidR="00515507" w:rsidRPr="00BD4428">
        <w:t xml:space="preserve"> 1939</w:t>
      </w:r>
      <w:r w:rsidR="00AB2AA9">
        <w:t xml:space="preserve"> ist ein Zitat Hitlers:</w:t>
      </w:r>
      <w:r w:rsidR="00515507">
        <w:t xml:space="preserve"> „Man bleibe uns vom Leibe mit Humanität!“</w:t>
      </w:r>
      <w:r w:rsidR="00AB2AA9">
        <w:t xml:space="preserve"> vorangestellt.</w:t>
      </w:r>
      <w:r w:rsidR="00596B8A">
        <w:rPr>
          <w:rStyle w:val="Funotenzeichen"/>
        </w:rPr>
        <w:footnoteReference w:id="20"/>
      </w:r>
      <w:r w:rsidR="00AB2AA9">
        <w:t xml:space="preserve"> Hier zieht </w:t>
      </w:r>
      <w:proofErr w:type="spellStart"/>
      <w:r w:rsidR="00AB2AA9">
        <w:t>Rinner</w:t>
      </w:r>
      <w:proofErr w:type="spellEnd"/>
      <w:r w:rsidR="00AB2AA9">
        <w:t xml:space="preserve"> </w:t>
      </w:r>
      <w:r w:rsidR="00596B8A">
        <w:t>d</w:t>
      </w:r>
      <w:r w:rsidR="00AB2AA9">
        <w:t>en aufschlussreichen Ve</w:t>
      </w:r>
      <w:r w:rsidR="00AB2AA9">
        <w:t>r</w:t>
      </w:r>
      <w:r w:rsidR="00AB2AA9">
        <w:t>gleich der Judenverfolgungen mit den Massakern der Türken an den Armeniern</w:t>
      </w:r>
      <w:r w:rsidR="00B66AD9">
        <w:t xml:space="preserve"> [!]</w:t>
      </w:r>
      <w:r w:rsidR="00AB2AA9">
        <w:t>:</w:t>
      </w:r>
    </w:p>
    <w:p w:rsidR="00515507" w:rsidRDefault="00515507" w:rsidP="00D9069C">
      <w:pPr>
        <w:spacing w:after="0"/>
        <w:ind w:left="1134"/>
        <w:jc w:val="both"/>
      </w:pPr>
      <w:r>
        <w:t xml:space="preserve">„In Deutschland vollzieht sich gegenwärtig die unaufhaltsame Ausrottung einer Minderheit [!] mit den brutalen Mitteln des Mordes, der Peinigung bis zum Wahnwitz, des Raubes, des Überfalls und der </w:t>
      </w:r>
      <w:proofErr w:type="spellStart"/>
      <w:r>
        <w:t>Aushungerung</w:t>
      </w:r>
      <w:proofErr w:type="spellEnd"/>
      <w:r>
        <w:t>. Was den Armeniern während des Krieges in der Türkei geschah, wird im Dritten Reich langsamer und planmäßiger an den Juden verübt.“</w:t>
      </w:r>
      <w:r w:rsidR="00AA46F1">
        <w:t xml:space="preserve"> (S. 201 f.)</w:t>
      </w:r>
    </w:p>
    <w:p w:rsidR="00D9069C" w:rsidRDefault="00D9069C" w:rsidP="00D9069C">
      <w:pPr>
        <w:spacing w:after="0"/>
        <w:jc w:val="both"/>
      </w:pPr>
      <w:proofErr w:type="spellStart"/>
      <w:r>
        <w:t>Rinner</w:t>
      </w:r>
      <w:proofErr w:type="spellEnd"/>
      <w:r>
        <w:t xml:space="preserve"> registriert – und kommentiert – sehr genau, wie sehr eine die Ausreise durch willkürl</w:t>
      </w:r>
      <w:r>
        <w:t>i</w:t>
      </w:r>
      <w:r>
        <w:t>che Schikanen erschwert wird. Die Flüchtlinge werden in den Aufnahmeländern inhaftiert; aufgrund von Verzweiflung häufen sich die Selbstmorde:</w:t>
      </w:r>
    </w:p>
    <w:p w:rsidR="00515507" w:rsidRDefault="00515507" w:rsidP="00D9069C">
      <w:pPr>
        <w:spacing w:after="0"/>
        <w:ind w:left="1134"/>
        <w:jc w:val="both"/>
      </w:pPr>
      <w:r>
        <w:t xml:space="preserve">„Da vor der Entlassung aus einem Konzentrationslager gewöhnlich der Nachweis gefordert wird, </w:t>
      </w:r>
      <w:proofErr w:type="spellStart"/>
      <w:r>
        <w:t>daß</w:t>
      </w:r>
      <w:proofErr w:type="spellEnd"/>
      <w:r>
        <w:t xml:space="preserve"> der Häftling binnen weniger Tage, häufig binnen 48 Stunden, Deutschland verlassen wird, kommt es zu unsinnigen Fluchtreisen, bei denen zwar die erste Etappe – hinaus aus Deutschland –, nicht aber das Ziel bekannt ist. Auf den Meeren irren Schiffe mit jüdischen Passagieren umher, die nirgends an Land gelassen werde</w:t>
      </w:r>
      <w:r w:rsidR="00AA46F1">
        <w:t>n</w:t>
      </w:r>
      <w:r>
        <w:t>. In den Niemandsländern an den Grenzen entfaltet sich ein en</w:t>
      </w:r>
      <w:r>
        <w:t>t</w:t>
      </w:r>
      <w:r>
        <w:t xml:space="preserve">setzliches Flüchtlingselend. Die Gefängnisse der demokratischen Nachbarstaaten füllen sich mit Emigranten, die Deutschland zwangsweise verlassen </w:t>
      </w:r>
      <w:proofErr w:type="spellStart"/>
      <w:r>
        <w:t>mußten</w:t>
      </w:r>
      <w:proofErr w:type="spellEnd"/>
      <w:r>
        <w:t xml:space="preserve"> und deren einzige Schuld darin besteht, </w:t>
      </w:r>
      <w:proofErr w:type="spellStart"/>
      <w:r>
        <w:t>daß</w:t>
      </w:r>
      <w:proofErr w:type="spellEnd"/>
      <w:r>
        <w:t xml:space="preserve"> kein anderes Land sie aufnehmen will. Selbstmorde verzweifelter jüdischer Menschen werden nicht nur aus Deutschland, sondern aus der ganzen Welt gemeldet.</w:t>
      </w:r>
    </w:p>
    <w:p w:rsidR="00515507" w:rsidRDefault="00515507" w:rsidP="00D9069C">
      <w:pPr>
        <w:spacing w:after="0"/>
        <w:ind w:left="1134"/>
        <w:jc w:val="both"/>
      </w:pPr>
      <w:r>
        <w:lastRenderedPageBreak/>
        <w:t xml:space="preserve">Das ist die Lage. Wir registrieren wie bisher die gesetzlichen Bestimmungen, die den Juden in Deutschland den Lebensraum weiter einengen, sind uns aber darüber klar, </w:t>
      </w:r>
      <w:proofErr w:type="spellStart"/>
      <w:r>
        <w:t>daß</w:t>
      </w:r>
      <w:proofErr w:type="spellEnd"/>
      <w:r>
        <w:t xml:space="preserve"> in Wirklichkeit ein gesetzloser Zustand herrscht, durch den jede Gewal</w:t>
      </w:r>
      <w:r>
        <w:t>t</w:t>
      </w:r>
      <w:r>
        <w:t xml:space="preserve">tat gegen die jüdische Minderheit sanktioniert ist.“ </w:t>
      </w:r>
      <w:r w:rsidR="00BD4428">
        <w:t>(S. 20</w:t>
      </w:r>
      <w:r w:rsidR="00AA46F1">
        <w:t>2</w:t>
      </w:r>
      <w:r w:rsidR="00BD4428">
        <w:t>)</w:t>
      </w:r>
    </w:p>
    <w:p w:rsidR="00515507" w:rsidRDefault="00D9069C" w:rsidP="00515507">
      <w:pPr>
        <w:spacing w:after="0"/>
        <w:jc w:val="both"/>
      </w:pPr>
      <w:r>
        <w:t xml:space="preserve">Auch </w:t>
      </w:r>
      <w:proofErr w:type="spellStart"/>
      <w:r>
        <w:t>Rinner</w:t>
      </w:r>
      <w:proofErr w:type="spellEnd"/>
      <w:r>
        <w:t xml:space="preserve"> erkennt, dass sich die eigentliche Tragödie der Juden zu dieser Zeit nicht in Deutschland abspielt, sondern in Polen:</w:t>
      </w:r>
    </w:p>
    <w:p w:rsidR="00515507" w:rsidRDefault="00515507" w:rsidP="00BB30EB">
      <w:pPr>
        <w:spacing w:after="0"/>
        <w:ind w:left="1134"/>
        <w:jc w:val="both"/>
      </w:pPr>
      <w:r>
        <w:t>„Alle Nöte der reichsdeutschen, österreichischen und im Protektorat lebenden J</w:t>
      </w:r>
      <w:r>
        <w:t>u</w:t>
      </w:r>
      <w:r>
        <w:t>den verblassen vor dem</w:t>
      </w:r>
      <w:r w:rsidR="009A5C12">
        <w:t>,</w:t>
      </w:r>
      <w:r>
        <w:t xml:space="preserve"> was in </w:t>
      </w:r>
      <w:r>
        <w:rPr>
          <w:i/>
        </w:rPr>
        <w:t xml:space="preserve">Polen </w:t>
      </w:r>
      <w:r>
        <w:t xml:space="preserve">geschieht. Sobald die Deutschen in Polen Fuß </w:t>
      </w:r>
      <w:proofErr w:type="spellStart"/>
      <w:r>
        <w:t>gefaßt</w:t>
      </w:r>
      <w:proofErr w:type="spellEnd"/>
      <w:r>
        <w:t xml:space="preserve"> hatten, haben sie zunächst das Eigentum jedes einzelnen Juden b</w:t>
      </w:r>
      <w:r>
        <w:t>e</w:t>
      </w:r>
      <w:r>
        <w:t>schlagnahmt, die Synagogen teils geschlossen, teils zerstört, die Führer jüdischer Organisationen verhaftet und verschleppt, die Geschäfte und Waren der Juden konfisziert, die jüdischen Schulen geschlossen und zahllose Juden erschossen oder in unmenschlicher Weise zu Tode gequält.“</w:t>
      </w:r>
    </w:p>
    <w:p w:rsidR="00515507" w:rsidRDefault="00515507" w:rsidP="00BB30EB">
      <w:pPr>
        <w:spacing w:after="0"/>
        <w:ind w:left="1134"/>
        <w:jc w:val="both"/>
      </w:pPr>
      <w:r>
        <w:t xml:space="preserve">„Die größte Ungeheuerlichkeit aber ist die Verfrachtung von Tausenden und Abertausenden von Juden aus dem Reich, aus dem Protektorat, aus Wien und aus dem westlichen Polen nach dem </w:t>
      </w:r>
      <w:r w:rsidRPr="00F01730">
        <w:rPr>
          <w:i/>
        </w:rPr>
        <w:t>‚jüdischen Reservat‘</w:t>
      </w:r>
      <w:r>
        <w:t xml:space="preserve"> </w:t>
      </w:r>
      <w:r>
        <w:rPr>
          <w:i/>
        </w:rPr>
        <w:t>in und um Lublin.</w:t>
      </w:r>
      <w:r>
        <w:t xml:space="preserve"> Aus Lu</w:t>
      </w:r>
      <w:r>
        <w:t>b</w:t>
      </w:r>
      <w:r>
        <w:t>lin, das durch die Bombardements fast völlig zerstört ist, wurde die polnische B</w:t>
      </w:r>
      <w:r>
        <w:t>e</w:t>
      </w:r>
      <w:r>
        <w:t>völkerung abtransportiert, um für die jüdischen Deportierten Platz zu schaffen. Der westliche Teil Polens soll von Juden ganz geräumt werden. […]</w:t>
      </w:r>
    </w:p>
    <w:p w:rsidR="00515507" w:rsidRPr="00F01730" w:rsidRDefault="00515507" w:rsidP="00BB30EB">
      <w:pPr>
        <w:spacing w:after="0"/>
        <w:ind w:left="1134"/>
        <w:jc w:val="both"/>
      </w:pPr>
      <w:r>
        <w:t>Die Transporte nach Lublin haben im Oktober 1939 mit der Verschickung von Wiener Juden begonnen. Wenig später hat die Gestapo in Prag 200 und in Mä</w:t>
      </w:r>
      <w:r>
        <w:t>h</w:t>
      </w:r>
      <w:r>
        <w:t>risch-Ostrau 1200 jüdische Familien festgenommen und nach Lublin abgesch</w:t>
      </w:r>
      <w:r>
        <w:t>o</w:t>
      </w:r>
      <w:r>
        <w:t xml:space="preserve">ben. Nicht die nötigsten Geldmittel und Kleider durften mitgenommen werden. […] Im Februar hat die </w:t>
      </w:r>
      <w:r>
        <w:rPr>
          <w:i/>
        </w:rPr>
        <w:t xml:space="preserve">Austreibung aller Stettiner Juden </w:t>
      </w:r>
      <w:r>
        <w:t>das Entsetzen der U</w:t>
      </w:r>
      <w:r>
        <w:t>m</w:t>
      </w:r>
      <w:r>
        <w:t>welt erregt. 1300 Personen wurden in der Nacht vom 12. Auf den 13. Februar um 4 Uhr morgens durch SS-Leute geweckt und in eisiger Kälte zu Fuß nach dem Güterbahnhof getrieben. […] Jede Familie durfte einen Handkoffer mitnehmen, aber kein Bargeld. Greise, Kranke, Frauen und Kinder wurden ausnahmslos auf die furchtbare Reise geschickt.“</w:t>
      </w:r>
      <w:r w:rsidR="00D9069C">
        <w:t xml:space="preserve"> (</w:t>
      </w:r>
      <w:r w:rsidR="00D9069C" w:rsidRPr="00D9069C">
        <w:t>April 1940, S. 265 ff</w:t>
      </w:r>
      <w:r w:rsidR="00BB30EB" w:rsidRPr="00D9069C">
        <w:t>.</w:t>
      </w:r>
      <w:r w:rsidR="00BB30EB">
        <w:t>)</w:t>
      </w:r>
    </w:p>
    <w:p w:rsidR="00515507" w:rsidRDefault="00EE06DE" w:rsidP="00515507">
      <w:pPr>
        <w:spacing w:after="0"/>
        <w:jc w:val="both"/>
      </w:pPr>
      <w:r>
        <w:t xml:space="preserve">Zumindest diejenigen, die die </w:t>
      </w:r>
      <w:r>
        <w:rPr>
          <w:i/>
        </w:rPr>
        <w:t xml:space="preserve">Deutschland-Berichte </w:t>
      </w:r>
      <w:r>
        <w:t>zur Kenntnis bekamen, konnten sich zu dieser Zeit bereits ein Bild der kommenden Entwicklung machen.</w:t>
      </w:r>
    </w:p>
    <w:p w:rsidR="00EE06DE" w:rsidRDefault="00EE06DE" w:rsidP="00515507">
      <w:pPr>
        <w:spacing w:after="0"/>
        <w:jc w:val="both"/>
      </w:pPr>
    </w:p>
    <w:p w:rsidR="009D6982" w:rsidRPr="00D261EF" w:rsidRDefault="00271F3D" w:rsidP="00AA6C36">
      <w:pPr>
        <w:spacing w:after="0"/>
        <w:ind w:firstLine="708"/>
        <w:jc w:val="both"/>
        <w:rPr>
          <w:i/>
        </w:rPr>
      </w:pPr>
      <w:r>
        <w:t xml:space="preserve">In der Zeitspanne </w:t>
      </w:r>
      <w:r w:rsidR="00AA6C36">
        <w:t xml:space="preserve">zwischen 1938 und 1948 </w:t>
      </w:r>
      <w:r>
        <w:t>verändert sich der Charakter der Exilliter</w:t>
      </w:r>
      <w:r>
        <w:t>a</w:t>
      </w:r>
      <w:r>
        <w:t>tur</w:t>
      </w:r>
      <w:r w:rsidR="000433D3">
        <w:t>.</w:t>
      </w:r>
      <w:r w:rsidR="00AA6C36">
        <w:t xml:space="preserve"> </w:t>
      </w:r>
      <w:r w:rsidR="000433D3">
        <w:t>Z.</w:t>
      </w:r>
      <w:r w:rsidR="00D741E2">
        <w:t xml:space="preserve">T. handelt es sich um </w:t>
      </w:r>
      <w:r w:rsidR="00576E4A">
        <w:t xml:space="preserve">Verschiebungen innerhalb des Gattungssystems, </w:t>
      </w:r>
      <w:r w:rsidR="009A2E8D">
        <w:t xml:space="preserve">die </w:t>
      </w:r>
      <w:r w:rsidR="00FF45CE">
        <w:t xml:space="preserve">im Ansatz </w:t>
      </w:r>
      <w:r w:rsidR="009A2E8D">
        <w:t xml:space="preserve">bereits kurz nach Beginn des Exils </w:t>
      </w:r>
      <w:r w:rsidR="0094536D">
        <w:t xml:space="preserve">erkennbar </w:t>
      </w:r>
      <w:r w:rsidR="00FF45CE">
        <w:t>geworden sind</w:t>
      </w:r>
      <w:r w:rsidR="00576E4A">
        <w:t xml:space="preserve">, aber </w:t>
      </w:r>
      <w:r w:rsidR="0094536D">
        <w:t>erst jetzt in v</w:t>
      </w:r>
      <w:r w:rsidR="00576E4A">
        <w:t xml:space="preserve">ollem Umfang </w:t>
      </w:r>
      <w:r w:rsidR="0094536D">
        <w:t xml:space="preserve">in Erscheinung treten, </w:t>
      </w:r>
      <w:r w:rsidR="00E374C8">
        <w:t xml:space="preserve">z.T. auch um das </w:t>
      </w:r>
      <w:r w:rsidR="000433D3">
        <w:t xml:space="preserve">verstärkte </w:t>
      </w:r>
      <w:r w:rsidR="00E374C8">
        <w:t>Hervortreten einzelner Genres, insbesond</w:t>
      </w:r>
      <w:r w:rsidR="00E374C8">
        <w:t>e</w:t>
      </w:r>
      <w:r w:rsidR="00E374C8">
        <w:t xml:space="preserve">re der </w:t>
      </w:r>
      <w:r w:rsidR="00453283">
        <w:t xml:space="preserve">Brief- und </w:t>
      </w:r>
      <w:r w:rsidR="00E374C8">
        <w:t>Tagebuchliteratur</w:t>
      </w:r>
      <w:r w:rsidR="000433D3">
        <w:t xml:space="preserve">. </w:t>
      </w:r>
      <w:r w:rsidR="008048A3">
        <w:t>Letztere</w:t>
      </w:r>
      <w:r w:rsidR="0094536D">
        <w:t>s</w:t>
      </w:r>
      <w:r w:rsidR="000433D3">
        <w:t xml:space="preserve"> i</w:t>
      </w:r>
      <w:r w:rsidR="00453283">
        <w:t xml:space="preserve">st eine charakteristische Begleiterscheinung der </w:t>
      </w:r>
      <w:r w:rsidR="000433D3">
        <w:t xml:space="preserve">sich immer mehr verstärkenden </w:t>
      </w:r>
      <w:r w:rsidR="00453283">
        <w:t xml:space="preserve">Verfolgungssituation. Es handelt sich </w:t>
      </w:r>
      <w:r w:rsidR="00576E4A">
        <w:t>dabei</w:t>
      </w:r>
      <w:r w:rsidR="00453283">
        <w:t xml:space="preserve"> </w:t>
      </w:r>
      <w:r w:rsidR="0094536D">
        <w:t xml:space="preserve">auch </w:t>
      </w:r>
      <w:r w:rsidR="00453283">
        <w:t xml:space="preserve">nicht um ein spezifisches Merkmal </w:t>
      </w:r>
      <w:r w:rsidR="00D549C7">
        <w:t xml:space="preserve">nur </w:t>
      </w:r>
      <w:r w:rsidR="00453283">
        <w:t xml:space="preserve">der deutschsprachigen Literatur, sondern </w:t>
      </w:r>
      <w:r w:rsidR="000433D3">
        <w:t>die Zunahme der autobi</w:t>
      </w:r>
      <w:r w:rsidR="000433D3">
        <w:t>o</w:t>
      </w:r>
      <w:r w:rsidR="000433D3">
        <w:t xml:space="preserve">grafischen Literatur </w:t>
      </w:r>
      <w:r w:rsidR="00453283">
        <w:t>ist</w:t>
      </w:r>
      <w:r w:rsidR="005123B4">
        <w:t xml:space="preserve">, wie die Tagebücher von Hélène Berr, </w:t>
      </w:r>
      <w:proofErr w:type="spellStart"/>
      <w:r w:rsidR="005123B4">
        <w:t>Etty</w:t>
      </w:r>
      <w:proofErr w:type="spellEnd"/>
      <w:r w:rsidR="005123B4">
        <w:t xml:space="preserve"> </w:t>
      </w:r>
      <w:proofErr w:type="spellStart"/>
      <w:r w:rsidR="005123B4">
        <w:t>Hillesum</w:t>
      </w:r>
      <w:proofErr w:type="spellEnd"/>
      <w:r w:rsidR="005123B4">
        <w:t xml:space="preserve">, Philip </w:t>
      </w:r>
      <w:proofErr w:type="spellStart"/>
      <w:r w:rsidR="005123B4">
        <w:t>Mechan</w:t>
      </w:r>
      <w:r w:rsidR="005123B4">
        <w:t>i</w:t>
      </w:r>
      <w:r w:rsidR="005123B4">
        <w:t>cus</w:t>
      </w:r>
      <w:proofErr w:type="spellEnd"/>
      <w:r w:rsidR="0094536D">
        <w:t>, Mirjam Bolle</w:t>
      </w:r>
      <w:r w:rsidR="005123B4">
        <w:t xml:space="preserve"> </w:t>
      </w:r>
      <w:r w:rsidR="0094536D">
        <w:t>und</w:t>
      </w:r>
      <w:r w:rsidR="005123B4">
        <w:t xml:space="preserve"> vieler anderer Verfolgter belegen, </w:t>
      </w:r>
      <w:r w:rsidR="00453283">
        <w:t xml:space="preserve">ein charakteristisches Phänomen </w:t>
      </w:r>
      <w:r w:rsidR="005123B4">
        <w:t xml:space="preserve">der Literatur </w:t>
      </w:r>
      <w:r w:rsidR="000433D3" w:rsidRPr="0094536D">
        <w:rPr>
          <w:i/>
        </w:rPr>
        <w:t>in a</w:t>
      </w:r>
      <w:r w:rsidR="00453283" w:rsidRPr="0094536D">
        <w:rPr>
          <w:i/>
        </w:rPr>
        <w:t>lle</w:t>
      </w:r>
      <w:r w:rsidR="000433D3" w:rsidRPr="0094536D">
        <w:rPr>
          <w:i/>
        </w:rPr>
        <w:t>n</w:t>
      </w:r>
      <w:r w:rsidR="00453283" w:rsidRPr="0094536D">
        <w:rPr>
          <w:i/>
        </w:rPr>
        <w:t xml:space="preserve"> europäischen Staaten</w:t>
      </w:r>
      <w:r w:rsidR="00453283">
        <w:t>, die von der deutschen Okkupation und der Judenve</w:t>
      </w:r>
      <w:r w:rsidR="00453283">
        <w:t>r</w:t>
      </w:r>
      <w:r w:rsidR="00453283">
        <w:t xml:space="preserve">folgung </w:t>
      </w:r>
      <w:r w:rsidR="000433D3">
        <w:t>betroffen</w:t>
      </w:r>
      <w:r w:rsidR="00453283">
        <w:t xml:space="preserve"> sind.</w:t>
      </w:r>
      <w:r w:rsidR="00D549C7">
        <w:t xml:space="preserve"> </w:t>
      </w:r>
      <w:r w:rsidR="00D261EF" w:rsidRPr="0094536D">
        <w:t xml:space="preserve">Die deutsche Exilliteratur wird </w:t>
      </w:r>
      <w:r w:rsidR="0094536D" w:rsidRPr="0094536D">
        <w:t xml:space="preserve">durch diese Veränderungen </w:t>
      </w:r>
      <w:r w:rsidR="00D261EF" w:rsidRPr="0094536D">
        <w:t>zu einem Teil der</w:t>
      </w:r>
      <w:r w:rsidR="00D261EF">
        <w:rPr>
          <w:i/>
        </w:rPr>
        <w:t xml:space="preserve"> </w:t>
      </w:r>
      <w:r w:rsidR="00D261EF" w:rsidRPr="0094536D">
        <w:t>europäischen</w:t>
      </w:r>
      <w:r w:rsidR="00D261EF">
        <w:rPr>
          <w:i/>
        </w:rPr>
        <w:t xml:space="preserve"> </w:t>
      </w:r>
      <w:r w:rsidR="00D261EF" w:rsidRPr="0094536D">
        <w:t>Verfolg</w:t>
      </w:r>
      <w:r w:rsidR="0094536D" w:rsidRPr="0094536D">
        <w:t>ten</w:t>
      </w:r>
      <w:r w:rsidR="00D261EF" w:rsidRPr="0094536D">
        <w:t>literatur</w:t>
      </w:r>
      <w:r w:rsidR="00D261EF">
        <w:rPr>
          <w:i/>
        </w:rPr>
        <w:t>.</w:t>
      </w:r>
    </w:p>
    <w:p w:rsidR="00C841E0" w:rsidRDefault="000433D3" w:rsidP="00AA6C36">
      <w:pPr>
        <w:spacing w:after="0"/>
        <w:ind w:firstLine="708"/>
        <w:jc w:val="both"/>
      </w:pPr>
      <w:r>
        <w:lastRenderedPageBreak/>
        <w:t>Von den Veränderungen, die das Exil nach sich zieht</w:t>
      </w:r>
      <w:r w:rsidR="00A559E0">
        <w:t xml:space="preserve"> und die frühzeitig die Entwic</w:t>
      </w:r>
      <w:r w:rsidR="00A559E0">
        <w:t>k</w:t>
      </w:r>
      <w:r w:rsidR="00A559E0">
        <w:t>lung der Exilliteratur negativ beeinflussen</w:t>
      </w:r>
      <w:r>
        <w:t>, ist a</w:t>
      </w:r>
      <w:r w:rsidR="006A6FFA">
        <w:t xml:space="preserve">ls erste Gattung die Dramatik </w:t>
      </w:r>
      <w:r>
        <w:t>betroffen</w:t>
      </w:r>
      <w:r w:rsidR="00D549C7">
        <w:t>.</w:t>
      </w:r>
      <w:r>
        <w:t xml:space="preserve"> </w:t>
      </w:r>
      <w:r w:rsidR="004B2ACD">
        <w:t xml:space="preserve">Sie verliert ihre </w:t>
      </w:r>
      <w:r w:rsidR="00C92FEF">
        <w:t xml:space="preserve">bisherige </w:t>
      </w:r>
      <w:r w:rsidR="004B2ACD">
        <w:t>Sonderstellung</w:t>
      </w:r>
      <w:r w:rsidR="00D741E2">
        <w:t xml:space="preserve"> als die ‚aktuellste‘ literarische Disziplin.</w:t>
      </w:r>
      <w:r w:rsidR="001562A8">
        <w:rPr>
          <w:rStyle w:val="Funotenzeichen"/>
        </w:rPr>
        <w:footnoteReference w:id="21"/>
      </w:r>
      <w:r w:rsidR="00D741E2">
        <w:t xml:space="preserve"> Einzelne spektakuläre Erfolge wie die Rezeption von Ferdinand Bruckners </w:t>
      </w:r>
      <w:r w:rsidR="00D741E2">
        <w:rPr>
          <w:i/>
        </w:rPr>
        <w:t xml:space="preserve">Die Rassen </w:t>
      </w:r>
      <w:r w:rsidR="00D741E2">
        <w:t>in Frankreich</w:t>
      </w:r>
      <w:r w:rsidR="001562A8">
        <w:t xml:space="preserve"> können über diese</w:t>
      </w:r>
      <w:r w:rsidR="004B2ACD">
        <w:t>n</w:t>
      </w:r>
      <w:r w:rsidR="001562A8">
        <w:t xml:space="preserve"> </w:t>
      </w:r>
      <w:r w:rsidR="004B2ACD">
        <w:t>Tatbestand</w:t>
      </w:r>
      <w:r w:rsidR="001562A8">
        <w:t xml:space="preserve"> nicht hinwegtäuschen. </w:t>
      </w:r>
      <w:r w:rsidR="00C92FEF">
        <w:t xml:space="preserve">Der Bedeutungsverlust wird dadurch ausgelöst, </w:t>
      </w:r>
      <w:r w:rsidR="001562A8">
        <w:t xml:space="preserve">dass die Dramatik </w:t>
      </w:r>
      <w:r w:rsidR="00D261EF">
        <w:t>1933 sowie in den Folgejahren</w:t>
      </w:r>
      <w:r w:rsidR="001562A8">
        <w:t xml:space="preserve"> die Mehrzahl ihrer </w:t>
      </w:r>
      <w:r w:rsidR="004B2ACD">
        <w:t xml:space="preserve">bisherigen </w:t>
      </w:r>
      <w:r w:rsidR="001562A8">
        <w:t>Spielstätten verl</w:t>
      </w:r>
      <w:r w:rsidR="00C92FEF">
        <w:t>iert</w:t>
      </w:r>
      <w:r w:rsidR="001562A8">
        <w:t xml:space="preserve">. </w:t>
      </w:r>
      <w:r w:rsidR="006A6FFA">
        <w:t xml:space="preserve">Das </w:t>
      </w:r>
      <w:r w:rsidR="00012C13">
        <w:t>betrifft</w:t>
      </w:r>
      <w:r w:rsidR="004B2ACD">
        <w:t xml:space="preserve"> </w:t>
      </w:r>
      <w:r w:rsidR="006A6FFA">
        <w:t xml:space="preserve">nicht </w:t>
      </w:r>
      <w:r w:rsidR="004B2ACD">
        <w:t>bloß</w:t>
      </w:r>
      <w:r w:rsidR="006A6FFA">
        <w:t xml:space="preserve"> die innerdeutschen Bühnen, die </w:t>
      </w:r>
      <w:r w:rsidR="00275676">
        <w:t>für die</w:t>
      </w:r>
      <w:r w:rsidR="006A6FFA">
        <w:t xml:space="preserve"> Exildram</w:t>
      </w:r>
      <w:r w:rsidR="006A6FFA">
        <w:t>a</w:t>
      </w:r>
      <w:r w:rsidR="006A6FFA">
        <w:t xml:space="preserve">tik ohnehin versperrt </w:t>
      </w:r>
      <w:r w:rsidR="00C92FEF">
        <w:t>sind</w:t>
      </w:r>
      <w:r w:rsidR="006A6FFA">
        <w:t>, sondern auch ein</w:t>
      </w:r>
      <w:r w:rsidR="00C92FEF">
        <w:t>en</w:t>
      </w:r>
      <w:r w:rsidR="006A6FFA">
        <w:t xml:space="preserve"> </w:t>
      </w:r>
      <w:r w:rsidR="008808A0">
        <w:t>T</w:t>
      </w:r>
      <w:r w:rsidR="006A6FFA">
        <w:t>eil der deutschsprachigen Bühnen</w:t>
      </w:r>
      <w:r w:rsidR="00275676">
        <w:t xml:space="preserve"> in den e</w:t>
      </w:r>
      <w:r w:rsidR="00275676">
        <w:t>u</w:t>
      </w:r>
      <w:r w:rsidR="00275676">
        <w:t>ropäischen Nachbarstaaten</w:t>
      </w:r>
      <w:r w:rsidR="006A6FFA">
        <w:t xml:space="preserve">. </w:t>
      </w:r>
      <w:r w:rsidR="00C92FEF">
        <w:t>Dadurch entfallen nicht nur die Tantiemen</w:t>
      </w:r>
      <w:r w:rsidR="00275676">
        <w:t>, also die Einkünfte</w:t>
      </w:r>
      <w:r w:rsidR="00FF45CE">
        <w:t xml:space="preserve"> der Dramatiker</w:t>
      </w:r>
      <w:r w:rsidR="00275676">
        <w:t xml:space="preserve"> – </w:t>
      </w:r>
      <w:r w:rsidR="00FF45CE">
        <w:t>entscheidend</w:t>
      </w:r>
      <w:r w:rsidR="00C92FEF">
        <w:t xml:space="preserve"> ist</w:t>
      </w:r>
      <w:r w:rsidR="00FF45CE">
        <w:t xml:space="preserve"> vielmehr</w:t>
      </w:r>
      <w:r w:rsidR="00C92FEF">
        <w:t>, dass d</w:t>
      </w:r>
      <w:r w:rsidR="00275676">
        <w:t>e</w:t>
      </w:r>
      <w:r w:rsidR="00012C13">
        <w:t>r</w:t>
      </w:r>
      <w:r w:rsidR="00275676">
        <w:t xml:space="preserve"> </w:t>
      </w:r>
      <w:r w:rsidR="00C92FEF">
        <w:t>Dramatik</w:t>
      </w:r>
      <w:r w:rsidR="00275676">
        <w:t xml:space="preserve"> </w:t>
      </w:r>
      <w:r w:rsidR="00C92FEF">
        <w:t xml:space="preserve">damit </w:t>
      </w:r>
      <w:r w:rsidR="00275676">
        <w:t>der</w:t>
      </w:r>
      <w:r w:rsidR="00C92FEF">
        <w:t xml:space="preserve"> Resonanz</w:t>
      </w:r>
      <w:r w:rsidR="00275676">
        <w:t>boden</w:t>
      </w:r>
      <w:r w:rsidR="00C92FEF">
        <w:t xml:space="preserve"> </w:t>
      </w:r>
      <w:r w:rsidR="00275676">
        <w:t>entz</w:t>
      </w:r>
      <w:r w:rsidR="00275676">
        <w:t>o</w:t>
      </w:r>
      <w:r w:rsidR="00275676">
        <w:t>gen wird</w:t>
      </w:r>
      <w:r w:rsidR="00C92FEF">
        <w:t xml:space="preserve">. </w:t>
      </w:r>
      <w:r w:rsidR="00275676">
        <w:t>Einzig Brecht besitzt das Selbstbewusstsein</w:t>
      </w:r>
      <w:r w:rsidR="008808A0">
        <w:t xml:space="preserve"> und den finanziellen Rückhalt</w:t>
      </w:r>
      <w:r w:rsidR="00275676">
        <w:t>, „für die Schublade“ zu schreiben.</w:t>
      </w:r>
      <w:r w:rsidR="00275676">
        <w:rPr>
          <w:rStyle w:val="Funotenzeichen"/>
        </w:rPr>
        <w:footnoteReference w:id="22"/>
      </w:r>
      <w:r w:rsidR="00275676">
        <w:t xml:space="preserve"> </w:t>
      </w:r>
      <w:r w:rsidR="00C841E0">
        <w:t xml:space="preserve">Die Gründe </w:t>
      </w:r>
      <w:r w:rsidR="00570566">
        <w:t xml:space="preserve">für die </w:t>
      </w:r>
      <w:r w:rsidR="00012C13">
        <w:t xml:space="preserve">ablehnende Haltung </w:t>
      </w:r>
      <w:r w:rsidR="00C92FEF">
        <w:t>sind</w:t>
      </w:r>
      <w:r w:rsidR="00C841E0">
        <w:t xml:space="preserve"> fast immer polit</w:t>
      </w:r>
      <w:r w:rsidR="00C841E0">
        <w:t>i</w:t>
      </w:r>
      <w:r w:rsidR="00C841E0">
        <w:t xml:space="preserve">scher Art. </w:t>
      </w:r>
      <w:r w:rsidR="00C92FEF">
        <w:t>Um Aufführungen von Stücken exilierter Autoren zu verhindern, setzt d</w:t>
      </w:r>
      <w:r w:rsidR="00C841E0">
        <w:t xml:space="preserve">as Dritte Reich alle </w:t>
      </w:r>
      <w:r w:rsidR="00C92FEF">
        <w:t>verfügbaren Hebel</w:t>
      </w:r>
      <w:r w:rsidR="00C841E0">
        <w:t xml:space="preserve"> in Bewegung</w:t>
      </w:r>
      <w:r w:rsidR="00C92FEF">
        <w:t xml:space="preserve">: </w:t>
      </w:r>
      <w:r w:rsidR="00FF45CE">
        <w:t xml:space="preserve">vor allem </w:t>
      </w:r>
      <w:r w:rsidR="00C92FEF">
        <w:t xml:space="preserve">finanziellen Druck und </w:t>
      </w:r>
      <w:r w:rsidR="00D549C7">
        <w:t>poli</w:t>
      </w:r>
      <w:r w:rsidR="00C92FEF">
        <w:t>tische I</w:t>
      </w:r>
      <w:r w:rsidR="00C92FEF">
        <w:t>n</w:t>
      </w:r>
      <w:r w:rsidR="00C92FEF">
        <w:t>terventionen</w:t>
      </w:r>
      <w:r w:rsidR="00304369">
        <w:t xml:space="preserve">. </w:t>
      </w:r>
      <w:r w:rsidR="00A559E0">
        <w:t xml:space="preserve">Es werden Skandale inszeniert, damit </w:t>
      </w:r>
      <w:r w:rsidR="00570566">
        <w:t xml:space="preserve">missliebige Stücke </w:t>
      </w:r>
      <w:r w:rsidR="00A559E0">
        <w:t>abgesetzt werd</w:t>
      </w:r>
      <w:r w:rsidR="00570566">
        <w:t>en.</w:t>
      </w:r>
      <w:r w:rsidR="00304369">
        <w:t xml:space="preserve"> </w:t>
      </w:r>
      <w:r w:rsidR="00C841E0">
        <w:t>In der Tschechoslowakei gr</w:t>
      </w:r>
      <w:r w:rsidR="00C92FEF">
        <w:t>ei</w:t>
      </w:r>
      <w:r w:rsidR="00C841E0">
        <w:t>f</w:t>
      </w:r>
      <w:r w:rsidR="00C92FEF">
        <w:t>t</w:t>
      </w:r>
      <w:r w:rsidR="00C841E0">
        <w:t xml:space="preserve"> </w:t>
      </w:r>
      <w:r w:rsidR="00C92FEF">
        <w:t>das Propagandaministerium</w:t>
      </w:r>
      <w:r w:rsidR="002D17A6">
        <w:t xml:space="preserve"> </w:t>
      </w:r>
      <w:r w:rsidR="00012C13">
        <w:t>dabei</w:t>
      </w:r>
      <w:r w:rsidR="00C841E0">
        <w:t xml:space="preserve"> auf die Unterstützung der </w:t>
      </w:r>
      <w:proofErr w:type="spellStart"/>
      <w:r w:rsidR="00C841E0">
        <w:t>Henlein</w:t>
      </w:r>
      <w:proofErr w:type="spellEnd"/>
      <w:r w:rsidR="00C841E0">
        <w:t xml:space="preserve">-Anhänger zurück, in der Schweiz auf die der </w:t>
      </w:r>
      <w:proofErr w:type="spellStart"/>
      <w:r w:rsidR="00C841E0">
        <w:t>Frontisten</w:t>
      </w:r>
      <w:proofErr w:type="spellEnd"/>
      <w:r w:rsidR="00C841E0">
        <w:t xml:space="preserve">. </w:t>
      </w:r>
      <w:r w:rsidR="00A559E0">
        <w:t>Im Kontext dieser Ause</w:t>
      </w:r>
      <w:r w:rsidR="00A559E0">
        <w:t>i</w:t>
      </w:r>
      <w:r w:rsidR="00A559E0">
        <w:t>nandersetzungen bildet d</w:t>
      </w:r>
      <w:r w:rsidR="00C841E0">
        <w:t>as Zürcher Schauspielhaus, das überragende Theater der Exildram</w:t>
      </w:r>
      <w:r w:rsidR="00C841E0">
        <w:t>a</w:t>
      </w:r>
      <w:r w:rsidR="00C841E0">
        <w:t>tik</w:t>
      </w:r>
      <w:r w:rsidR="00304369">
        <w:t xml:space="preserve">, </w:t>
      </w:r>
      <w:r w:rsidR="00A559E0">
        <w:t>d</w:t>
      </w:r>
      <w:r w:rsidR="00012C13">
        <w:t>i</w:t>
      </w:r>
      <w:r w:rsidR="00304369">
        <w:t xml:space="preserve">e rühmliche Ausnahme, indem sich hier die Leitung des Hauses </w:t>
      </w:r>
      <w:r w:rsidR="002D17A6">
        <w:t xml:space="preserve">dem </w:t>
      </w:r>
      <w:r w:rsidR="00304369">
        <w:t>Druck nicht beugt.</w:t>
      </w:r>
      <w:r w:rsidR="00012C13">
        <w:rPr>
          <w:rStyle w:val="Funotenzeichen"/>
        </w:rPr>
        <w:footnoteReference w:id="23"/>
      </w:r>
      <w:r w:rsidR="00D549C7">
        <w:t xml:space="preserve"> </w:t>
      </w:r>
      <w:r w:rsidR="00A559E0">
        <w:t>D</w:t>
      </w:r>
      <w:r w:rsidR="00E841EF">
        <w:t>as Grundproblem</w:t>
      </w:r>
      <w:r w:rsidR="00A559E0">
        <w:t xml:space="preserve"> ändert sich dadurch jedoch nicht. </w:t>
      </w:r>
      <w:r w:rsidR="00D549C7">
        <w:t>D</w:t>
      </w:r>
      <w:r w:rsidR="00E841EF">
        <w:t>as betrifft auch den</w:t>
      </w:r>
      <w:r w:rsidR="00D549C7">
        <w:t xml:space="preserve"> </w:t>
      </w:r>
      <w:r w:rsidR="00FF45CE">
        <w:t>heraus</w:t>
      </w:r>
      <w:r w:rsidR="00D549C7">
        <w:t>r</w:t>
      </w:r>
      <w:r w:rsidR="00D549C7">
        <w:t>a</w:t>
      </w:r>
      <w:r w:rsidR="00D549C7">
        <w:t>gende</w:t>
      </w:r>
      <w:r w:rsidR="00E841EF">
        <w:t>n</w:t>
      </w:r>
      <w:r w:rsidR="00D549C7">
        <w:t xml:space="preserve"> Dramatiker des Exils</w:t>
      </w:r>
      <w:r w:rsidR="00FF45CE">
        <w:t>:</w:t>
      </w:r>
      <w:r w:rsidR="00D549C7">
        <w:t xml:space="preserve"> Bert Brecht</w:t>
      </w:r>
      <w:r w:rsidR="00E841EF">
        <w:t>. Sein</w:t>
      </w:r>
      <w:r w:rsidR="00EC12D1">
        <w:t xml:space="preserve"> im Exil entstandenes dramatisches</w:t>
      </w:r>
      <w:r w:rsidR="00D549C7">
        <w:t xml:space="preserve"> </w:t>
      </w:r>
      <w:proofErr w:type="spellStart"/>
      <w:r w:rsidR="00EC12D1">
        <w:t>Œuvre</w:t>
      </w:r>
      <w:proofErr w:type="spellEnd"/>
      <w:r w:rsidR="00EC12D1">
        <w:t xml:space="preserve"> </w:t>
      </w:r>
      <w:r w:rsidR="00D549C7">
        <w:t xml:space="preserve">setzt sich in der zweiten Hälfte des 20. Jahrhunderts international nur deshalb durch, weil </w:t>
      </w:r>
      <w:r w:rsidR="00EC12D1">
        <w:t>Brecht</w:t>
      </w:r>
      <w:r w:rsidR="00D549C7">
        <w:t xml:space="preserve"> nach Ende des Zweiten Weltkriegs die Möglichkeit erhält, auf der Basis eines eigenen Theaters, des </w:t>
      </w:r>
      <w:r w:rsidR="009E6A34">
        <w:t>T</w:t>
      </w:r>
      <w:r w:rsidR="00D549C7">
        <w:t xml:space="preserve">heaters am Schiffbauerdamm, </w:t>
      </w:r>
      <w:r w:rsidR="00E841EF">
        <w:t>seine</w:t>
      </w:r>
      <w:r w:rsidR="009E6A34">
        <w:t xml:space="preserve"> </w:t>
      </w:r>
      <w:r w:rsidR="00E841EF">
        <w:t>im Exil entstandenen Stück</w:t>
      </w:r>
      <w:r w:rsidR="00FF45CE">
        <w:t>e</w:t>
      </w:r>
      <w:r w:rsidR="009E6A34">
        <w:t xml:space="preserve"> in Modelli</w:t>
      </w:r>
      <w:r w:rsidR="009E6A34">
        <w:t>n</w:t>
      </w:r>
      <w:r w:rsidR="009E6A34">
        <w:t>szenierungen zur Aufführung zu bringen.</w:t>
      </w:r>
    </w:p>
    <w:p w:rsidR="00A61902" w:rsidRPr="009E6A34" w:rsidRDefault="00A559E0" w:rsidP="00A61902">
      <w:pPr>
        <w:spacing w:after="0"/>
        <w:ind w:firstLine="708"/>
        <w:jc w:val="both"/>
      </w:pPr>
      <w:r>
        <w:t>B</w:t>
      </w:r>
      <w:r w:rsidR="00570566">
        <w:t xml:space="preserve">esser ist die </w:t>
      </w:r>
      <w:r>
        <w:t>Entwicklung</w:t>
      </w:r>
      <w:r w:rsidR="00570566">
        <w:t xml:space="preserve"> der Erzählprosa.</w:t>
      </w:r>
      <w:r w:rsidR="008D52EE">
        <w:rPr>
          <w:rStyle w:val="Funotenzeichen"/>
        </w:rPr>
        <w:footnoteReference w:id="24"/>
      </w:r>
      <w:r w:rsidR="00570566">
        <w:t xml:space="preserve"> </w:t>
      </w:r>
      <w:r w:rsidR="00014A7A">
        <w:t xml:space="preserve">Sie wird zur </w:t>
      </w:r>
      <w:r w:rsidR="00E841EF">
        <w:t>zentral</w:t>
      </w:r>
      <w:r w:rsidR="00014A7A">
        <w:t>en literarischen Ga</w:t>
      </w:r>
      <w:r w:rsidR="00014A7A">
        <w:t>t</w:t>
      </w:r>
      <w:r w:rsidR="00014A7A">
        <w:t xml:space="preserve">tung. Die Gründe sind </w:t>
      </w:r>
      <w:r w:rsidR="00E841EF">
        <w:t xml:space="preserve">auch hier </w:t>
      </w:r>
      <w:r w:rsidR="00014A7A">
        <w:t>finanzieller Natur</w:t>
      </w:r>
      <w:r w:rsidR="00E841EF">
        <w:t>:</w:t>
      </w:r>
      <w:r w:rsidR="004E6441">
        <w:t xml:space="preserve"> </w:t>
      </w:r>
      <w:r w:rsidR="00E841EF">
        <w:t>D</w:t>
      </w:r>
      <w:r w:rsidR="004E6441">
        <w:t>ie Erzählprosa stößt auf einen ve</w:t>
      </w:r>
      <w:r w:rsidR="004E6441">
        <w:t>r</w:t>
      </w:r>
      <w:r w:rsidR="004E6441">
        <w:t>gleichsweise breiten Absatzmarkt</w:t>
      </w:r>
      <w:r w:rsidR="00014A7A">
        <w:t xml:space="preserve">. </w:t>
      </w:r>
      <w:r w:rsidR="00A61902">
        <w:t>Brecht z.B. macht im Nachhinein kein Hehl</w:t>
      </w:r>
      <w:r w:rsidR="009E6A34">
        <w:t xml:space="preserve"> daraus, dass seine </w:t>
      </w:r>
      <w:r w:rsidR="00EC12D1">
        <w:t xml:space="preserve">zeitweilige </w:t>
      </w:r>
      <w:r w:rsidR="009E6A34">
        <w:t xml:space="preserve">Hinwendung zur Erzählprosa </w:t>
      </w:r>
      <w:r w:rsidR="009E6A34" w:rsidRPr="004E6441">
        <w:rPr>
          <w:i/>
        </w:rPr>
        <w:t>aus finanziellen Erwägungen</w:t>
      </w:r>
      <w:r w:rsidR="009E6A34">
        <w:t xml:space="preserve"> erfolgte</w:t>
      </w:r>
      <w:r w:rsidR="00A61902">
        <w:t xml:space="preserve">. Über die Motive, die ihn veranlassten, den </w:t>
      </w:r>
      <w:r w:rsidR="00A61902">
        <w:rPr>
          <w:i/>
        </w:rPr>
        <w:t xml:space="preserve">Dreigroschenroman </w:t>
      </w:r>
      <w:r w:rsidR="00A61902">
        <w:t>zu schreiben, sagt er im Gespräch mit Paul Dessau: „Ich brauchte damals in Dänemark Geld und habe vorher ein genaues Pr</w:t>
      </w:r>
      <w:r w:rsidR="00A61902">
        <w:t>o</w:t>
      </w:r>
      <w:r w:rsidR="00A61902">
        <w:lastRenderedPageBreak/>
        <w:t xml:space="preserve">jekt gemacht, was </w:t>
      </w:r>
      <w:proofErr w:type="spellStart"/>
      <w:r w:rsidR="00A61902">
        <w:t>muß</w:t>
      </w:r>
      <w:proofErr w:type="spellEnd"/>
      <w:r w:rsidR="00A61902">
        <w:t xml:space="preserve"> ich schreiben, um möglichst viel Geld zu bekommen.“</w:t>
      </w:r>
      <w:r w:rsidR="00A61902">
        <w:rPr>
          <w:rStyle w:val="Funotenzeichen"/>
        </w:rPr>
        <w:footnoteReference w:id="25"/>
      </w:r>
      <w:r w:rsidR="001E5162">
        <w:t xml:space="preserve"> Ferdinand Bruckner schreibt aus ähnlichen Erwägungen </w:t>
      </w:r>
      <w:proofErr w:type="spellStart"/>
      <w:r w:rsidR="001E5162">
        <w:rPr>
          <w:i/>
        </w:rPr>
        <w:t>Mussia</w:t>
      </w:r>
      <w:proofErr w:type="spellEnd"/>
      <w:r w:rsidR="001E5162">
        <w:rPr>
          <w:i/>
        </w:rPr>
        <w:t xml:space="preserve">. </w:t>
      </w:r>
      <w:proofErr w:type="spellStart"/>
      <w:r w:rsidR="001E5162">
        <w:rPr>
          <w:i/>
        </w:rPr>
        <w:t>Mussia</w:t>
      </w:r>
      <w:proofErr w:type="spellEnd"/>
      <w:r w:rsidR="001E5162">
        <w:rPr>
          <w:i/>
        </w:rPr>
        <w:t xml:space="preserve"> </w:t>
      </w:r>
      <w:r w:rsidR="001E5162">
        <w:t>ist ein historischer Roman wie zugleich ein Liebesroman</w:t>
      </w:r>
      <w:r w:rsidR="00014A7A">
        <w:t>: beides publikumswirksame Genres</w:t>
      </w:r>
      <w:r w:rsidR="001E5162">
        <w:t xml:space="preserve">. </w:t>
      </w:r>
      <w:r w:rsidR="009E6A34">
        <w:t>Auch Horváth wird zum R</w:t>
      </w:r>
      <w:r w:rsidR="009E6A34">
        <w:t>o</w:t>
      </w:r>
      <w:r w:rsidR="009E6A34">
        <w:t>manschriftsteller, w</w:t>
      </w:r>
      <w:r w:rsidR="008D52EE">
        <w:t>eil seine Dramen von den Bühnen nicht angenommen werden</w:t>
      </w:r>
      <w:r w:rsidR="001E5162">
        <w:t>. – Der R</w:t>
      </w:r>
      <w:r w:rsidR="001E5162">
        <w:t>o</w:t>
      </w:r>
      <w:r w:rsidR="001E5162">
        <w:t xml:space="preserve">man erweist sich im Exil als die künstlerisch anpassungsfähigste Gattung. Die Ursachen dafür liegen teils in der literarischen Struktur, teils in der besonderen Vielfalt und Flexibilität des Publikumsbezugs. </w:t>
      </w:r>
      <w:r w:rsidR="00E801C5">
        <w:t xml:space="preserve">Die Folge ist jedoch, dass </w:t>
      </w:r>
      <w:r w:rsidR="004E6441">
        <w:t xml:space="preserve">vor allem </w:t>
      </w:r>
      <w:r w:rsidR="00E801C5">
        <w:t xml:space="preserve">die publikumsorientierten Genres stark in den Vordergrund rücken: historische Romane und historische Biografien, Liebes- und Abenteuerromane, Kinder- und Jugendliteratur, Kriminal- und Kolonialromane. </w:t>
      </w:r>
      <w:r w:rsidR="008D52EE">
        <w:t xml:space="preserve">Das </w:t>
      </w:r>
      <w:r w:rsidR="00203087">
        <w:t>Gesa</w:t>
      </w:r>
      <w:r w:rsidR="00203087">
        <w:t>m</w:t>
      </w:r>
      <w:r w:rsidR="00203087">
        <w:t>tr</w:t>
      </w:r>
      <w:r w:rsidR="008D52EE">
        <w:t xml:space="preserve">esultat ist paradox: </w:t>
      </w:r>
      <w:r w:rsidR="00E801C5">
        <w:t xml:space="preserve">Unpolitische Unterhaltungsliteratur steht </w:t>
      </w:r>
      <w:r w:rsidR="004E6441">
        <w:t xml:space="preserve">auf diese Weise </w:t>
      </w:r>
      <w:r w:rsidR="008D52EE">
        <w:t>neben</w:t>
      </w:r>
      <w:r w:rsidR="00E801C5">
        <w:t xml:space="preserve"> dezidiert </w:t>
      </w:r>
      <w:r w:rsidR="00E801C5" w:rsidRPr="004E6441">
        <w:rPr>
          <w:i/>
        </w:rPr>
        <w:t>politische</w:t>
      </w:r>
      <w:r w:rsidR="009E6A34" w:rsidRPr="004E6441">
        <w:rPr>
          <w:i/>
        </w:rPr>
        <w:t>n</w:t>
      </w:r>
      <w:r w:rsidR="008D52EE">
        <w:t xml:space="preserve"> </w:t>
      </w:r>
      <w:r w:rsidR="00E801C5">
        <w:t>Texten</w:t>
      </w:r>
      <w:r w:rsidR="009E6A34">
        <w:t>:</w:t>
      </w:r>
      <w:r w:rsidR="00E801C5">
        <w:t xml:space="preserve"> </w:t>
      </w:r>
      <w:r w:rsidR="00014A7A">
        <w:t xml:space="preserve">neben </w:t>
      </w:r>
      <w:r w:rsidR="00E801C5">
        <w:t xml:space="preserve">Hans </w:t>
      </w:r>
      <w:proofErr w:type="spellStart"/>
      <w:r w:rsidR="00E801C5">
        <w:t>Liepmans</w:t>
      </w:r>
      <w:proofErr w:type="spellEnd"/>
      <w:r w:rsidR="00E801C5">
        <w:t xml:space="preserve"> </w:t>
      </w:r>
      <w:r w:rsidR="00E801C5">
        <w:rPr>
          <w:i/>
        </w:rPr>
        <w:t>Das Vaterland</w:t>
      </w:r>
      <w:r w:rsidR="00E801C5">
        <w:t xml:space="preserve">, Walter </w:t>
      </w:r>
      <w:proofErr w:type="spellStart"/>
      <w:r w:rsidR="00E801C5">
        <w:t>Schönstedts</w:t>
      </w:r>
      <w:proofErr w:type="spellEnd"/>
      <w:r w:rsidR="00E801C5">
        <w:t xml:space="preserve"> </w:t>
      </w:r>
      <w:r w:rsidR="00E801C5">
        <w:rPr>
          <w:i/>
        </w:rPr>
        <w:t>Auf der Flucht erschossen</w:t>
      </w:r>
      <w:r w:rsidR="00014A7A">
        <w:rPr>
          <w:i/>
        </w:rPr>
        <w:t xml:space="preserve"> </w:t>
      </w:r>
      <w:r w:rsidR="00014A7A">
        <w:t>oder</w:t>
      </w:r>
      <w:r w:rsidR="00E801C5">
        <w:rPr>
          <w:i/>
        </w:rPr>
        <w:t xml:space="preserve"> </w:t>
      </w:r>
      <w:r w:rsidR="00E801C5">
        <w:t xml:space="preserve">Gustav Reglers </w:t>
      </w:r>
      <w:r w:rsidR="00E801C5">
        <w:rPr>
          <w:i/>
        </w:rPr>
        <w:t>Im Kreuzfeuer.</w:t>
      </w:r>
      <w:r w:rsidR="009E6A34">
        <w:rPr>
          <w:rStyle w:val="Funotenzeichen"/>
          <w:i/>
        </w:rPr>
        <w:footnoteReference w:id="26"/>
      </w:r>
    </w:p>
    <w:p w:rsidR="008D52EE" w:rsidRPr="008D52EE" w:rsidRDefault="004E6441" w:rsidP="00A61902">
      <w:pPr>
        <w:spacing w:after="0"/>
        <w:ind w:firstLine="708"/>
        <w:jc w:val="both"/>
      </w:pPr>
      <w:r>
        <w:t>Vergleichsweise</w:t>
      </w:r>
      <w:r w:rsidR="008D52EE">
        <w:t xml:space="preserve"> gut können sich international etablierte Autoren wie Stefan Zweig </w:t>
      </w:r>
      <w:r w:rsidR="00203087">
        <w:t>oder</w:t>
      </w:r>
      <w:r w:rsidR="008D52EE">
        <w:t xml:space="preserve"> Franz Werfel behaupten. </w:t>
      </w:r>
      <w:r w:rsidR="00203087">
        <w:t>Einzelne</w:t>
      </w:r>
      <w:r w:rsidR="008D52EE">
        <w:t xml:space="preserve"> Autoren </w:t>
      </w:r>
      <w:r w:rsidR="00014A7A">
        <w:t>werden</w:t>
      </w:r>
      <w:r w:rsidR="008D52EE">
        <w:t xml:space="preserve"> aufgrund der niedrigen Erlöse</w:t>
      </w:r>
      <w:r w:rsidR="009E6A34">
        <w:t xml:space="preserve"> jedoch</w:t>
      </w:r>
      <w:r w:rsidR="008D52EE">
        <w:t xml:space="preserve"> zu einem immer schnelleren Produktionsrhythmus gezwungen. </w:t>
      </w:r>
      <w:r w:rsidR="00203087">
        <w:t>Auch diese Entwicklung setzt bereits in der Anfangsphase des Exils ein</w:t>
      </w:r>
      <w:r w:rsidR="008D52EE">
        <w:t xml:space="preserve">. </w:t>
      </w:r>
      <w:r w:rsidR="00203087">
        <w:t>In der Zeitspanne zwischen 1938 und 1948 finden jedoch i</w:t>
      </w:r>
      <w:r>
        <w:t xml:space="preserve">mmer weniger Autoren einen Verlag. </w:t>
      </w:r>
      <w:r w:rsidR="00203087">
        <w:t>V</w:t>
      </w:r>
      <w:r w:rsidR="00DB6F3A">
        <w:t xml:space="preserve">on </w:t>
      </w:r>
      <w:r w:rsidR="00203087">
        <w:t xml:space="preserve">dieser Entwicklung </w:t>
      </w:r>
      <w:r w:rsidR="00DB6F3A">
        <w:t>ist sogar Heinrich Mann, also ein prominenter Repräsentant des Exils, betroffen</w:t>
      </w:r>
      <w:r w:rsidR="009E6A34">
        <w:t xml:space="preserve">. </w:t>
      </w:r>
      <w:r w:rsidR="00051608">
        <w:t xml:space="preserve">Die erfolgreichsten Autoren sind </w:t>
      </w:r>
      <w:r w:rsidR="00394EE5">
        <w:t xml:space="preserve">auch jetzt </w:t>
      </w:r>
      <w:r w:rsidR="00051608">
        <w:t>die</w:t>
      </w:r>
      <w:r w:rsidR="009853FE">
        <w:t xml:space="preserve"> Vertreter der</w:t>
      </w:r>
      <w:r w:rsidR="00051608">
        <w:t xml:space="preserve"> ‚populären‘ </w:t>
      </w:r>
      <w:r w:rsidR="009853FE">
        <w:t>Genres</w:t>
      </w:r>
      <w:r w:rsidR="00051608">
        <w:t>: Vicki Baum,</w:t>
      </w:r>
      <w:r w:rsidR="00051608">
        <w:rPr>
          <w:rStyle w:val="Funotenzeichen"/>
        </w:rPr>
        <w:footnoteReference w:id="27"/>
      </w:r>
      <w:r w:rsidR="00051608">
        <w:t xml:space="preserve"> Emil Ludwig, </w:t>
      </w:r>
      <w:r w:rsidR="00203087">
        <w:t>Erich M</w:t>
      </w:r>
      <w:r w:rsidR="00203087">
        <w:t>a</w:t>
      </w:r>
      <w:r w:rsidR="00203087">
        <w:t>ria</w:t>
      </w:r>
      <w:r w:rsidR="00051608">
        <w:t xml:space="preserve"> Remarque, vor allem aber </w:t>
      </w:r>
      <w:r w:rsidR="007D7423">
        <w:t xml:space="preserve">Lion </w:t>
      </w:r>
      <w:r w:rsidR="00051608">
        <w:t xml:space="preserve">Feuchtwanger. </w:t>
      </w:r>
      <w:r w:rsidR="009853FE">
        <w:t>Feuchtwangers</w:t>
      </w:r>
      <w:r w:rsidR="00051608">
        <w:t xml:space="preserve"> </w:t>
      </w:r>
      <w:r w:rsidR="00203087">
        <w:t xml:space="preserve">Einkünfte aus seiner </w:t>
      </w:r>
      <w:r w:rsidR="00051608">
        <w:t>schriftstell</w:t>
      </w:r>
      <w:r w:rsidR="00051608">
        <w:t>e</w:t>
      </w:r>
      <w:r w:rsidR="00051608">
        <w:t>rische</w:t>
      </w:r>
      <w:r w:rsidR="00203087">
        <w:t>n</w:t>
      </w:r>
      <w:r w:rsidR="00051608">
        <w:t xml:space="preserve"> Arbeit sind ungleich höher als die von Thomas Mann.</w:t>
      </w:r>
    </w:p>
    <w:p w:rsidR="00DB6F3A" w:rsidRDefault="00AA6C36" w:rsidP="00AA6C36">
      <w:pPr>
        <w:spacing w:after="0"/>
        <w:ind w:firstLine="708"/>
        <w:jc w:val="both"/>
      </w:pPr>
      <w:r>
        <w:t>Prägend für das Erscheinungsbild der Exil</w:t>
      </w:r>
      <w:r w:rsidR="00DB6F3A">
        <w:t>l</w:t>
      </w:r>
      <w:r>
        <w:t xml:space="preserve">iteratur </w:t>
      </w:r>
      <w:r w:rsidR="00730EF1">
        <w:t>sind</w:t>
      </w:r>
      <w:r>
        <w:t xml:space="preserve"> </w:t>
      </w:r>
      <w:r w:rsidR="00203087">
        <w:t xml:space="preserve">vor allem </w:t>
      </w:r>
      <w:r>
        <w:t xml:space="preserve">die </w:t>
      </w:r>
      <w:r w:rsidR="00DB6F3A">
        <w:t xml:space="preserve">Werke der </w:t>
      </w:r>
      <w:r>
        <w:t>‚Großautoren‘</w:t>
      </w:r>
      <w:r w:rsidR="00203087">
        <w:t xml:space="preserve">, die in der Phase des „europäischen Exils“ entstehen: die Romane </w:t>
      </w:r>
      <w:r w:rsidR="00DB6F3A">
        <w:t>Lion Feuchtwanger</w:t>
      </w:r>
      <w:r w:rsidR="00203087">
        <w:t>s</w:t>
      </w:r>
      <w:r w:rsidR="00DB6F3A">
        <w:t>, Stefan Zweig</w:t>
      </w:r>
      <w:r w:rsidR="00203087">
        <w:t>s</w:t>
      </w:r>
      <w:r w:rsidR="00DB6F3A">
        <w:t>, Heinrich Mann</w:t>
      </w:r>
      <w:r w:rsidR="00203087">
        <w:t>s</w:t>
      </w:r>
      <w:r w:rsidR="00DB6F3A">
        <w:t>, Alfred Döblin</w:t>
      </w:r>
      <w:r w:rsidR="00203087">
        <w:t>s</w:t>
      </w:r>
      <w:r w:rsidR="00DB6F3A">
        <w:t>, Joseph Roth</w:t>
      </w:r>
      <w:r w:rsidR="00203087">
        <w:t>s</w:t>
      </w:r>
      <w:r w:rsidR="00DB6F3A">
        <w:t>, Franz We</w:t>
      </w:r>
      <w:r w:rsidR="00DB6F3A">
        <w:t>r</w:t>
      </w:r>
      <w:r w:rsidR="00DB6F3A">
        <w:t>fel</w:t>
      </w:r>
      <w:r w:rsidR="00203087">
        <w:t>s</w:t>
      </w:r>
      <w:r w:rsidR="00DB6F3A">
        <w:t xml:space="preserve">. Eine Sonderstellung nimmt das Werk </w:t>
      </w:r>
      <w:r>
        <w:t>Thomas Mann</w:t>
      </w:r>
      <w:r w:rsidR="00DB6F3A">
        <w:t>s ein</w:t>
      </w:r>
      <w:r>
        <w:t xml:space="preserve">. Zwar erschienen die ersten </w:t>
      </w:r>
      <w:r w:rsidR="002C4066">
        <w:t xml:space="preserve">beiden </w:t>
      </w:r>
      <w:r>
        <w:t>Bände der Joseph-T</w:t>
      </w:r>
      <w:r w:rsidR="007D7423">
        <w:t>etra</w:t>
      </w:r>
      <w:r>
        <w:t>logie n</w:t>
      </w:r>
      <w:r w:rsidR="00730EF1">
        <w:t>o</w:t>
      </w:r>
      <w:r>
        <w:t xml:space="preserve">ch in Deutschland, also innerhalb des Dritten Reichs, </w:t>
      </w:r>
      <w:r w:rsidR="007D7423">
        <w:t xml:space="preserve">obwohl Thomas Mann Deutschland zu dieser Zeit bereits verlassen hatte, </w:t>
      </w:r>
      <w:r>
        <w:t xml:space="preserve">aber dies </w:t>
      </w:r>
      <w:r w:rsidR="002C4066">
        <w:t>ist</w:t>
      </w:r>
      <w:r>
        <w:t xml:space="preserve"> eine Folge der nationalsoz</w:t>
      </w:r>
      <w:r w:rsidR="007D7423">
        <w:t>ialistischen</w:t>
      </w:r>
      <w:r>
        <w:t xml:space="preserve"> Verlagspolitik</w:t>
      </w:r>
      <w:r w:rsidR="007D7423">
        <w:t>: eine Konzession gegenüber dem Ausland, um den Anschein von „Liberalität“ zu erwecken</w:t>
      </w:r>
      <w:r>
        <w:t xml:space="preserve">. Aufgrund </w:t>
      </w:r>
      <w:r w:rsidR="00394EE5">
        <w:t>sein</w:t>
      </w:r>
      <w:r>
        <w:t xml:space="preserve">er dezidiert </w:t>
      </w:r>
      <w:r>
        <w:rPr>
          <w:i/>
        </w:rPr>
        <w:t xml:space="preserve">jüdischen </w:t>
      </w:r>
      <w:r>
        <w:t>Them</w:t>
      </w:r>
      <w:r>
        <w:t>a</w:t>
      </w:r>
      <w:r>
        <w:t xml:space="preserve">tik </w:t>
      </w:r>
      <w:r w:rsidR="002C4066">
        <w:t>ist</w:t>
      </w:r>
      <w:r>
        <w:t xml:space="preserve"> de</w:t>
      </w:r>
      <w:r w:rsidR="007D7423">
        <w:t>r</w:t>
      </w:r>
      <w:r>
        <w:t xml:space="preserve"> Josephs</w:t>
      </w:r>
      <w:r w:rsidR="007D7423">
        <w:t>roman</w:t>
      </w:r>
      <w:r>
        <w:t xml:space="preserve"> </w:t>
      </w:r>
      <w:r w:rsidR="00203087">
        <w:t>trotzdem</w:t>
      </w:r>
      <w:r w:rsidR="002C4066">
        <w:t xml:space="preserve"> </w:t>
      </w:r>
      <w:r>
        <w:t>Kontrabande.</w:t>
      </w:r>
      <w:r w:rsidR="007D7423">
        <w:t xml:space="preserve"> </w:t>
      </w:r>
      <w:r w:rsidR="002C4066">
        <w:t xml:space="preserve">Die Käufer stammen zu einem Großteil aus der </w:t>
      </w:r>
      <w:r w:rsidR="00394EE5">
        <w:t xml:space="preserve">zu dieser Zeit </w:t>
      </w:r>
      <w:r w:rsidR="002C4066">
        <w:t xml:space="preserve">noch in Deutschland lebenden jüdischen Bevölkerungsgruppe. </w:t>
      </w:r>
      <w:r w:rsidR="00DB6F3A">
        <w:t>Thomas Mann</w:t>
      </w:r>
      <w:r w:rsidR="00461AE5">
        <w:t>s</w:t>
      </w:r>
      <w:r w:rsidR="00DB6F3A">
        <w:t xml:space="preserve"> </w:t>
      </w:r>
      <w:r w:rsidR="00394EE5">
        <w:t xml:space="preserve">Person ist </w:t>
      </w:r>
      <w:r w:rsidR="00515275">
        <w:t xml:space="preserve">innerhalb des Exils </w:t>
      </w:r>
      <w:r w:rsidR="00394EE5">
        <w:t xml:space="preserve">jedoch aufgrund der Tatsache, dass er sich </w:t>
      </w:r>
      <w:r w:rsidR="00515275">
        <w:t>öffentlich z</w:t>
      </w:r>
      <w:r w:rsidR="00515275">
        <w:t>u</w:t>
      </w:r>
      <w:r w:rsidR="00515275">
        <w:t xml:space="preserve">nächst nicht gegen das Dritte Reich erklärt, umstritten. Er </w:t>
      </w:r>
      <w:r w:rsidR="00DB6F3A">
        <w:t xml:space="preserve">steigt </w:t>
      </w:r>
      <w:r w:rsidR="00203087">
        <w:t xml:space="preserve">erst </w:t>
      </w:r>
      <w:r w:rsidR="00DB6F3A">
        <w:t>in der zweiten Hälfte des Exils zum Repräse</w:t>
      </w:r>
      <w:r w:rsidR="00DB6F3A">
        <w:t>n</w:t>
      </w:r>
      <w:r w:rsidR="00DB6F3A">
        <w:t xml:space="preserve">tanten des deutschsprachigen Exils auf. </w:t>
      </w:r>
    </w:p>
    <w:p w:rsidR="00DE119F" w:rsidRDefault="00C22D46" w:rsidP="00AA6C36">
      <w:pPr>
        <w:spacing w:after="0"/>
        <w:ind w:firstLine="708"/>
        <w:jc w:val="both"/>
      </w:pPr>
      <w:r>
        <w:t>Mit der Annexion Österreichs, der Sudetengebiete und des tschechischen Rumpfsta</w:t>
      </w:r>
      <w:r>
        <w:t>a</w:t>
      </w:r>
      <w:r>
        <w:t>tes verl</w:t>
      </w:r>
      <w:r w:rsidR="002C4066">
        <w:t>ie</w:t>
      </w:r>
      <w:r>
        <w:t>r</w:t>
      </w:r>
      <w:r w:rsidR="002C4066">
        <w:t>t</w:t>
      </w:r>
      <w:r>
        <w:t xml:space="preserve"> d</w:t>
      </w:r>
      <w:r w:rsidR="0069792C">
        <w:t>as</w:t>
      </w:r>
      <w:r>
        <w:t xml:space="preserve"> Exil eine Anzahl von Verlagen, vor allem aber einen Großteil des bisherigen Absatzmarktes. </w:t>
      </w:r>
      <w:r w:rsidR="00461AE5">
        <w:t xml:space="preserve">In der Folge </w:t>
      </w:r>
      <w:r>
        <w:t xml:space="preserve">verschlechtert sich </w:t>
      </w:r>
      <w:r w:rsidR="00461AE5">
        <w:t>die finanzielle Situation der in Holland ansä</w:t>
      </w:r>
      <w:r w:rsidR="00461AE5">
        <w:t>s</w:t>
      </w:r>
      <w:r w:rsidR="00461AE5">
        <w:t xml:space="preserve">sigen Verlage: des </w:t>
      </w:r>
      <w:proofErr w:type="spellStart"/>
      <w:r w:rsidR="00461AE5">
        <w:t>Querido</w:t>
      </w:r>
      <w:proofErr w:type="spellEnd"/>
      <w:r w:rsidR="00461AE5">
        <w:t xml:space="preserve"> Verlag</w:t>
      </w:r>
      <w:bookmarkStart w:id="0" w:name="_GoBack"/>
      <w:bookmarkEnd w:id="0"/>
      <w:r w:rsidR="00461AE5">
        <w:t xml:space="preserve">s und des Verlages </w:t>
      </w:r>
      <w:proofErr w:type="spellStart"/>
      <w:r w:rsidR="00461AE5">
        <w:t>Allert</w:t>
      </w:r>
      <w:proofErr w:type="spellEnd"/>
      <w:r w:rsidR="00461AE5">
        <w:t xml:space="preserve"> de Lange, </w:t>
      </w:r>
      <w:r>
        <w:t xml:space="preserve">erheblich. </w:t>
      </w:r>
      <w:r w:rsidR="0069792C">
        <w:t>Nach der O</w:t>
      </w:r>
      <w:r w:rsidR="0069792C">
        <w:t>k</w:t>
      </w:r>
      <w:r w:rsidR="0069792C">
        <w:t xml:space="preserve">kupation der Niederlande und Frankreichs </w:t>
      </w:r>
      <w:r w:rsidR="00DB6F3A">
        <w:t xml:space="preserve">ist von einem eigenständigen Verlagssystem des </w:t>
      </w:r>
      <w:r w:rsidR="00DB6F3A">
        <w:lastRenderedPageBreak/>
        <w:t xml:space="preserve">Exils nicht mehr zu sprechen. </w:t>
      </w:r>
      <w:r w:rsidR="0028666E">
        <w:t xml:space="preserve">Zwar </w:t>
      </w:r>
      <w:r w:rsidR="00F44711">
        <w:t>entsteh</w:t>
      </w:r>
      <w:r w:rsidR="00DE119F">
        <w:t>en</w:t>
      </w:r>
      <w:r w:rsidR="00F44711">
        <w:t xml:space="preserve"> in den USA </w:t>
      </w:r>
      <w:r w:rsidR="00DE119F">
        <w:t xml:space="preserve">und in Mexiko </w:t>
      </w:r>
      <w:r w:rsidR="00183153">
        <w:t xml:space="preserve">noch einmal </w:t>
      </w:r>
      <w:r w:rsidR="00DE119F">
        <w:t xml:space="preserve">zwei </w:t>
      </w:r>
      <w:r w:rsidR="00183153">
        <w:t>n</w:t>
      </w:r>
      <w:r w:rsidR="00DE119F">
        <w:t>eue E</w:t>
      </w:r>
      <w:r w:rsidR="0028666E">
        <w:t>xilverlag</w:t>
      </w:r>
      <w:r w:rsidR="00DE119F">
        <w:t>e</w:t>
      </w:r>
      <w:r w:rsidR="00F44711">
        <w:t>:</w:t>
      </w:r>
      <w:r w:rsidR="0028666E">
        <w:t xml:space="preserve"> </w:t>
      </w:r>
      <w:r w:rsidR="00F44711">
        <w:t>der</w:t>
      </w:r>
      <w:r w:rsidR="0028666E">
        <w:t xml:space="preserve"> L.</w:t>
      </w:r>
      <w:r w:rsidR="00F44711">
        <w:t xml:space="preserve"> </w:t>
      </w:r>
      <w:r w:rsidR="0028666E">
        <w:t>B.</w:t>
      </w:r>
      <w:r w:rsidR="00F44711">
        <w:t xml:space="preserve"> </w:t>
      </w:r>
      <w:r w:rsidR="0028666E">
        <w:t xml:space="preserve">Fischer Verlag, </w:t>
      </w:r>
      <w:r w:rsidR="00F44711">
        <w:t>ein</w:t>
      </w:r>
      <w:r w:rsidR="0028666E">
        <w:t xml:space="preserve"> Kooperationsprojekt von Fritz </w:t>
      </w:r>
      <w:proofErr w:type="spellStart"/>
      <w:r w:rsidR="0028666E">
        <w:t>Landshoff</w:t>
      </w:r>
      <w:proofErr w:type="spellEnd"/>
      <w:r w:rsidR="0028666E">
        <w:t xml:space="preserve"> und Got</w:t>
      </w:r>
      <w:r w:rsidR="0028666E">
        <w:t>t</w:t>
      </w:r>
      <w:r w:rsidR="0028666E">
        <w:t xml:space="preserve">fried </w:t>
      </w:r>
      <w:proofErr w:type="spellStart"/>
      <w:r w:rsidR="0028666E">
        <w:t>Bermann</w:t>
      </w:r>
      <w:proofErr w:type="spellEnd"/>
      <w:r w:rsidR="0028666E">
        <w:t xml:space="preserve">-Fischer, und </w:t>
      </w:r>
      <w:r w:rsidR="00DE119F">
        <w:t>d</w:t>
      </w:r>
      <w:r w:rsidR="00183153">
        <w:t>ie Editorial</w:t>
      </w:r>
      <w:r w:rsidR="0028666E">
        <w:t xml:space="preserve"> </w:t>
      </w:r>
      <w:proofErr w:type="spellStart"/>
      <w:r w:rsidR="0028666E">
        <w:t>El</w:t>
      </w:r>
      <w:proofErr w:type="spellEnd"/>
      <w:r w:rsidR="0028666E">
        <w:t xml:space="preserve"> </w:t>
      </w:r>
      <w:proofErr w:type="spellStart"/>
      <w:r w:rsidR="00EF7C45">
        <w:t>L</w:t>
      </w:r>
      <w:r w:rsidR="0028666E">
        <w:t>ibro</w:t>
      </w:r>
      <w:proofErr w:type="spellEnd"/>
      <w:r w:rsidR="0028666E">
        <w:t xml:space="preserve"> </w:t>
      </w:r>
      <w:proofErr w:type="spellStart"/>
      <w:r w:rsidR="00EF7C45">
        <w:t>L</w:t>
      </w:r>
      <w:r w:rsidR="0028666E">
        <w:t>ibre</w:t>
      </w:r>
      <w:proofErr w:type="spellEnd"/>
      <w:r w:rsidR="00183153">
        <w:t>, hinzu kommen verschiedene deutschspr</w:t>
      </w:r>
      <w:r w:rsidR="00183153">
        <w:t>a</w:t>
      </w:r>
      <w:r w:rsidR="00183153">
        <w:t>chige Kleinverlage</w:t>
      </w:r>
      <w:r w:rsidR="00BB1A36">
        <w:t xml:space="preserve"> vor allem</w:t>
      </w:r>
      <w:r w:rsidR="00183153">
        <w:t xml:space="preserve"> in Großbritannien und Südamerika</w:t>
      </w:r>
      <w:r w:rsidR="0028666E">
        <w:t xml:space="preserve">, aber insgesamt wird die Entwicklung der Exilliteratur abhängig von den internationalen Verlagen und </w:t>
      </w:r>
      <w:r w:rsidR="00183153">
        <w:t>ihr</w:t>
      </w:r>
      <w:r w:rsidR="0028666E">
        <w:t xml:space="preserve">er Bereitschaft, Werke </w:t>
      </w:r>
      <w:r w:rsidR="00B156E0">
        <w:t xml:space="preserve">der </w:t>
      </w:r>
      <w:r w:rsidR="0028666E">
        <w:t>deutschsprachige</w:t>
      </w:r>
      <w:r w:rsidR="00B156E0">
        <w:t>n</w:t>
      </w:r>
      <w:r w:rsidR="0028666E">
        <w:t xml:space="preserve"> Exilautoren </w:t>
      </w:r>
      <w:r w:rsidR="0028666E" w:rsidRPr="0028666E">
        <w:rPr>
          <w:i/>
        </w:rPr>
        <w:t xml:space="preserve">in Übersetzung </w:t>
      </w:r>
      <w:r w:rsidR="0028666E">
        <w:t xml:space="preserve">zu publizieren. </w:t>
      </w:r>
      <w:r w:rsidR="00C523E9">
        <w:t>– P</w:t>
      </w:r>
      <w:r w:rsidR="00BB1A36">
        <w:t>a</w:t>
      </w:r>
      <w:r w:rsidR="00BB1A36">
        <w:t>rallel dazu</w:t>
      </w:r>
      <w:r w:rsidR="0004508B">
        <w:t xml:space="preserve"> verändert sich d</w:t>
      </w:r>
      <w:r w:rsidR="004C58D4">
        <w:t>e</w:t>
      </w:r>
      <w:r w:rsidR="00673E07">
        <w:t>r</w:t>
      </w:r>
      <w:r w:rsidR="004C58D4">
        <w:t xml:space="preserve"> </w:t>
      </w:r>
      <w:r w:rsidR="007E110B">
        <w:t>Orientierungs</w:t>
      </w:r>
      <w:r w:rsidR="00673E07">
        <w:t>horizont</w:t>
      </w:r>
      <w:r w:rsidR="007E110B">
        <w:t xml:space="preserve"> der </w:t>
      </w:r>
      <w:r w:rsidR="0004508B">
        <w:t>Exilschriftsteller</w:t>
      </w:r>
      <w:r w:rsidR="007E110B">
        <w:t>. Sie beginnen</w:t>
      </w:r>
      <w:r w:rsidR="006B593B">
        <w:t>,</w:t>
      </w:r>
      <w:r w:rsidR="007E110B">
        <w:t xml:space="preserve"> sich</w:t>
      </w:r>
      <w:r w:rsidR="006B593B">
        <w:t xml:space="preserve"> in </w:t>
      </w:r>
      <w:r w:rsidR="007E110B">
        <w:t>zunehmende</w:t>
      </w:r>
      <w:r w:rsidR="006B593B">
        <w:t xml:space="preserve">m </w:t>
      </w:r>
      <w:r w:rsidR="007E110B">
        <w:t>Maße auf ihr Aufnahmeland aus</w:t>
      </w:r>
      <w:r w:rsidR="00EC12D1">
        <w:t>zu</w:t>
      </w:r>
      <w:r w:rsidR="007E110B">
        <w:t xml:space="preserve">richten. </w:t>
      </w:r>
      <w:r w:rsidR="00BB1A36">
        <w:t>Zumindest dem äußeren A</w:t>
      </w:r>
      <w:r w:rsidR="00BB1A36">
        <w:t>n</w:t>
      </w:r>
      <w:r w:rsidR="00BB1A36">
        <w:t>schein nach kommt die Entwicklung der Exilliteratur d</w:t>
      </w:r>
      <w:r w:rsidR="00DE119F">
        <w:t xml:space="preserve">amit </w:t>
      </w:r>
      <w:r w:rsidR="00BB1A36">
        <w:t>zu einem Ende</w:t>
      </w:r>
      <w:r w:rsidR="00DE119F">
        <w:t>.</w:t>
      </w:r>
      <w:r w:rsidR="00BB1A36">
        <w:t xml:space="preserve"> In Wirklichkeit aber beginnt</w:t>
      </w:r>
      <w:r w:rsidR="00BB1A36" w:rsidRPr="00BB1A36">
        <w:t xml:space="preserve"> </w:t>
      </w:r>
      <w:r w:rsidR="00BB1A36">
        <w:t>nunmehr ein neues Kapitel: die literarische Darstellung von Verfolgung und Stigmat</w:t>
      </w:r>
      <w:r w:rsidR="00BB1A36">
        <w:t>i</w:t>
      </w:r>
      <w:r w:rsidR="00BB1A36">
        <w:t>sierung</w:t>
      </w:r>
      <w:r w:rsidR="00C523E9">
        <w:t>, des</w:t>
      </w:r>
      <w:r w:rsidR="00BB1A36">
        <w:t xml:space="preserve"> Überleben</w:t>
      </w:r>
      <w:r w:rsidR="00C523E9">
        <w:t>s</w:t>
      </w:r>
      <w:r w:rsidR="00BB1A36">
        <w:t xml:space="preserve"> in der Illegalität und im KZ.</w:t>
      </w:r>
    </w:p>
    <w:p w:rsidR="00DE119F" w:rsidRDefault="00DE119F">
      <w:pPr>
        <w:spacing w:after="0"/>
        <w:jc w:val="both"/>
      </w:pPr>
    </w:p>
    <w:sectPr w:rsidR="00DE119F" w:rsidSect="007E0506">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5C4" w:rsidRDefault="00C135C4" w:rsidP="00BA0DE7">
      <w:pPr>
        <w:spacing w:after="0" w:line="240" w:lineRule="auto"/>
      </w:pPr>
      <w:r>
        <w:separator/>
      </w:r>
    </w:p>
  </w:endnote>
  <w:endnote w:type="continuationSeparator" w:id="0">
    <w:p w:rsidR="00C135C4" w:rsidRDefault="00C135C4" w:rsidP="00BA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5C4" w:rsidRDefault="00C135C4" w:rsidP="00BA0DE7">
      <w:pPr>
        <w:spacing w:after="0" w:line="240" w:lineRule="auto"/>
      </w:pPr>
      <w:r>
        <w:separator/>
      </w:r>
    </w:p>
  </w:footnote>
  <w:footnote w:type="continuationSeparator" w:id="0">
    <w:p w:rsidR="00C135C4" w:rsidRDefault="00C135C4" w:rsidP="00BA0DE7">
      <w:pPr>
        <w:spacing w:after="0" w:line="240" w:lineRule="auto"/>
      </w:pPr>
      <w:r>
        <w:continuationSeparator/>
      </w:r>
    </w:p>
  </w:footnote>
  <w:footnote w:id="1">
    <w:p w:rsidR="00DE119F" w:rsidRPr="00815345" w:rsidRDefault="00DE119F" w:rsidP="004E10F3">
      <w:pPr>
        <w:pStyle w:val="Funotentext"/>
        <w:jc w:val="both"/>
      </w:pPr>
      <w:r w:rsidRPr="00815345">
        <w:rPr>
          <w:rStyle w:val="Funotenzeichen"/>
        </w:rPr>
        <w:footnoteRef/>
      </w:r>
      <w:r w:rsidRPr="00815345">
        <w:t xml:space="preserve"> </w:t>
      </w:r>
      <w:proofErr w:type="spellStart"/>
      <w:r w:rsidRPr="00815345">
        <w:t>Atina</w:t>
      </w:r>
      <w:proofErr w:type="spellEnd"/>
      <w:r w:rsidRPr="00815345">
        <w:t xml:space="preserve"> Grossmann: </w:t>
      </w:r>
      <w:r w:rsidRPr="00815345">
        <w:rPr>
          <w:i/>
        </w:rPr>
        <w:t xml:space="preserve">Juden, Deutsche, Alliierte. </w:t>
      </w:r>
      <w:r w:rsidRPr="00815345">
        <w:t>Begegnungen im besetzten Deutschland. Göttingen 2012</w:t>
      </w:r>
      <w:r>
        <w:t>; Ang</w:t>
      </w:r>
      <w:r>
        <w:t>e</w:t>
      </w:r>
      <w:r>
        <w:t xml:space="preserve">lika Königseder/Juliane Wetzel: </w:t>
      </w:r>
      <w:r>
        <w:rPr>
          <w:i/>
        </w:rPr>
        <w:t xml:space="preserve">Lebensmut im Wartesaal. </w:t>
      </w:r>
      <w:r>
        <w:t>Die jüdischen DPs (</w:t>
      </w:r>
      <w:proofErr w:type="spellStart"/>
      <w:r>
        <w:t>Displaced</w:t>
      </w:r>
      <w:proofErr w:type="spellEnd"/>
      <w:r>
        <w:t xml:space="preserve"> </w:t>
      </w:r>
      <w:proofErr w:type="spellStart"/>
      <w:r>
        <w:t>Persons</w:t>
      </w:r>
      <w:proofErr w:type="spellEnd"/>
      <w:r>
        <w:t>) im Nac</w:t>
      </w:r>
      <w:r>
        <w:t>h</w:t>
      </w:r>
      <w:r>
        <w:t>kriegsdeutschland. Frankfurt a.M. 1994</w:t>
      </w:r>
      <w:r w:rsidRPr="00815345">
        <w:t>.</w:t>
      </w:r>
    </w:p>
  </w:footnote>
  <w:footnote w:id="2">
    <w:p w:rsidR="00DE119F" w:rsidRPr="00F560D9" w:rsidRDefault="00DE119F" w:rsidP="004E10F3">
      <w:pPr>
        <w:pStyle w:val="Funotentext"/>
        <w:jc w:val="both"/>
      </w:pPr>
      <w:r>
        <w:rPr>
          <w:rStyle w:val="Funotenzeichen"/>
        </w:rPr>
        <w:footnoteRef/>
      </w:r>
      <w:r>
        <w:t xml:space="preserve"> Bereits die Titel der entsprechenden Publikationen benennen diesen Sachverhalt: François Lafitte: </w:t>
      </w:r>
      <w:r>
        <w:rPr>
          <w:i/>
        </w:rPr>
        <w:t xml:space="preserve">The </w:t>
      </w:r>
      <w:proofErr w:type="spellStart"/>
      <w:r>
        <w:rPr>
          <w:i/>
        </w:rPr>
        <w:t>Inter</w:t>
      </w:r>
      <w:r>
        <w:rPr>
          <w:i/>
        </w:rPr>
        <w:t>n</w:t>
      </w:r>
      <w:r>
        <w:rPr>
          <w:i/>
        </w:rPr>
        <w:t>ment</w:t>
      </w:r>
      <w:proofErr w:type="spellEnd"/>
      <w:r>
        <w:rPr>
          <w:i/>
        </w:rPr>
        <w:t xml:space="preserve"> </w:t>
      </w:r>
      <w:proofErr w:type="spellStart"/>
      <w:r>
        <w:rPr>
          <w:i/>
        </w:rPr>
        <w:t>of</w:t>
      </w:r>
      <w:proofErr w:type="spellEnd"/>
      <w:r>
        <w:rPr>
          <w:i/>
        </w:rPr>
        <w:t xml:space="preserve"> Aliens</w:t>
      </w:r>
      <w:r>
        <w:t xml:space="preserve">. </w:t>
      </w:r>
      <w:r w:rsidRPr="00576E4A">
        <w:rPr>
          <w:lang w:val="en-US"/>
        </w:rPr>
        <w:t xml:space="preserve">London 1988; Peter and </w:t>
      </w:r>
      <w:proofErr w:type="spellStart"/>
      <w:r w:rsidRPr="00576E4A">
        <w:rPr>
          <w:lang w:val="en-US"/>
        </w:rPr>
        <w:t>Leni</w:t>
      </w:r>
      <w:proofErr w:type="spellEnd"/>
      <w:r w:rsidRPr="00576E4A">
        <w:rPr>
          <w:lang w:val="en-US"/>
        </w:rPr>
        <w:t xml:space="preserve"> Gillman: </w:t>
      </w:r>
      <w:r w:rsidRPr="00576E4A">
        <w:rPr>
          <w:i/>
          <w:lang w:val="en-US"/>
        </w:rPr>
        <w:t>‚Collar the Lot</w:t>
      </w:r>
      <w:proofErr w:type="gramStart"/>
      <w:r w:rsidRPr="00576E4A">
        <w:rPr>
          <w:i/>
          <w:lang w:val="en-US"/>
        </w:rPr>
        <w:t>!‘</w:t>
      </w:r>
      <w:proofErr w:type="gramEnd"/>
      <w:r w:rsidRPr="00576E4A">
        <w:rPr>
          <w:i/>
          <w:lang w:val="en-US"/>
        </w:rPr>
        <w:t xml:space="preserve">. </w:t>
      </w:r>
      <w:r w:rsidRPr="00576E4A">
        <w:rPr>
          <w:lang w:val="en-US"/>
        </w:rPr>
        <w:t xml:space="preserve">How Britain interned und expelled Wartime Refugees. </w:t>
      </w:r>
      <w:r w:rsidRPr="00F560D9">
        <w:t xml:space="preserve">London, Melbourne, New York 1980; Christian Eggers: </w:t>
      </w:r>
      <w:r w:rsidRPr="00F560D9">
        <w:rPr>
          <w:i/>
        </w:rPr>
        <w:t xml:space="preserve">Unerwünschte Ausländer. </w:t>
      </w:r>
      <w:r w:rsidRPr="00F560D9">
        <w:t xml:space="preserve">Juden aus Deutschland und Mitteleuropa in französischen Internierungslagern 1940 – 1942. </w:t>
      </w:r>
      <w:r>
        <w:t xml:space="preserve">Berlin 2002. </w:t>
      </w:r>
    </w:p>
  </w:footnote>
  <w:footnote w:id="3">
    <w:p w:rsidR="00DE119F" w:rsidRPr="002166E0" w:rsidRDefault="00DE119F" w:rsidP="004E10F3">
      <w:pPr>
        <w:pStyle w:val="Funotentext"/>
        <w:jc w:val="both"/>
      </w:pPr>
      <w:r>
        <w:rPr>
          <w:rStyle w:val="Funotenzeichen"/>
        </w:rPr>
        <w:footnoteRef/>
      </w:r>
      <w:r>
        <w:t xml:space="preserve"> Zur Rolle der Schweiz vgl.: Bericht der Unabhängigen Expertenkommission Schweiz – Zweiter Weltkrieg: </w:t>
      </w:r>
      <w:r>
        <w:rPr>
          <w:i/>
        </w:rPr>
        <w:t xml:space="preserve">Die Schweiz und die Flüchtlinge zur Zeit des Nationalsozialismus. </w:t>
      </w:r>
      <w:r>
        <w:t>Bern 1999.</w:t>
      </w:r>
    </w:p>
  </w:footnote>
  <w:footnote w:id="4">
    <w:p w:rsidR="00DE119F" w:rsidRPr="003D28C3" w:rsidRDefault="00DE119F" w:rsidP="004E10F3">
      <w:pPr>
        <w:pStyle w:val="Funotentext"/>
        <w:jc w:val="both"/>
      </w:pPr>
      <w:r>
        <w:rPr>
          <w:rStyle w:val="Funotenzeichen"/>
        </w:rPr>
        <w:footnoteRef/>
      </w:r>
      <w:r>
        <w:t xml:space="preserve"> Zur Einreise in die USA vgl. David S. Wyman: </w:t>
      </w:r>
      <w:r>
        <w:rPr>
          <w:i/>
        </w:rPr>
        <w:t xml:space="preserve">Das unerwünschte Volk. </w:t>
      </w:r>
      <w:r>
        <w:t>Amerika und die Vernichtung der europäischen Juden. Ismaning bei München 1986. Über die allgemeinen Möglichkeiten der Auswanderung i</w:t>
      </w:r>
      <w:r>
        <w:t>n</w:t>
      </w:r>
      <w:r>
        <w:t xml:space="preserve">formiert der </w:t>
      </w:r>
      <w:proofErr w:type="spellStart"/>
      <w:r>
        <w:rPr>
          <w:i/>
        </w:rPr>
        <w:t>Philo</w:t>
      </w:r>
      <w:proofErr w:type="spellEnd"/>
      <w:r>
        <w:rPr>
          <w:i/>
        </w:rPr>
        <w:t>-Atlas.</w:t>
      </w:r>
      <w:r>
        <w:t xml:space="preserve"> Handbuch für die jüdische Auswanderung. Reprint der Ausgabe von 1938 (mit einem Vorwort von Susanne Urban-Fahr). Mainz o.J.</w:t>
      </w:r>
    </w:p>
  </w:footnote>
  <w:footnote w:id="5">
    <w:p w:rsidR="00DE119F" w:rsidRPr="000F1D9A" w:rsidRDefault="00DE119F" w:rsidP="002E2059">
      <w:pPr>
        <w:pStyle w:val="Funotentext"/>
        <w:jc w:val="both"/>
      </w:pPr>
      <w:r w:rsidRPr="000F1D9A">
        <w:rPr>
          <w:rStyle w:val="Funotenzeichen"/>
        </w:rPr>
        <w:footnoteRef/>
      </w:r>
      <w:r w:rsidRPr="000F1D9A">
        <w:t xml:space="preserve"> Vgl. </w:t>
      </w:r>
      <w:r>
        <w:t xml:space="preserve">Andrea Löw: Einleitung. – In: </w:t>
      </w:r>
      <w:r>
        <w:rPr>
          <w:i/>
        </w:rPr>
        <w:t>Die Verfolgung und Ermordung der europäischen Juden durch das nati</w:t>
      </w:r>
      <w:r>
        <w:rPr>
          <w:i/>
        </w:rPr>
        <w:t>o</w:t>
      </w:r>
      <w:r>
        <w:rPr>
          <w:i/>
        </w:rPr>
        <w:t>nalsozialistische Deutschland 1933 – 1945.</w:t>
      </w:r>
      <w:r>
        <w:t xml:space="preserve"> Bd. 3: </w:t>
      </w:r>
      <w:r w:rsidRPr="00FD2321">
        <w:rPr>
          <w:i/>
        </w:rPr>
        <w:t>Deutsches Reich und Protektorat Böhmen und Mähren</w:t>
      </w:r>
      <w:r>
        <w:t>. Se</w:t>
      </w:r>
      <w:r>
        <w:t>p</w:t>
      </w:r>
      <w:r>
        <w:t xml:space="preserve">tember 1939 – September 1941. Bearbeitet von Andrea Löw. München 2012, S. 13. – Künftig zitiert mit VEJ u. </w:t>
      </w:r>
      <w:proofErr w:type="spellStart"/>
      <w:r>
        <w:t>Bandzahl</w:t>
      </w:r>
      <w:proofErr w:type="spellEnd"/>
      <w:r>
        <w:t>.</w:t>
      </w:r>
    </w:p>
  </w:footnote>
  <w:footnote w:id="6">
    <w:p w:rsidR="00DE119F" w:rsidRPr="000F1D9A" w:rsidRDefault="00DE119F" w:rsidP="00A94856">
      <w:pPr>
        <w:pStyle w:val="Funotentext"/>
        <w:jc w:val="both"/>
      </w:pPr>
      <w:r w:rsidRPr="000F1D9A">
        <w:rPr>
          <w:rStyle w:val="Funotenzeichen"/>
        </w:rPr>
        <w:footnoteRef/>
      </w:r>
      <w:r w:rsidRPr="000F1D9A">
        <w:t xml:space="preserve"> Christian Gerlach u. Götz Aly: </w:t>
      </w:r>
      <w:r w:rsidRPr="000F1D9A">
        <w:rPr>
          <w:i/>
        </w:rPr>
        <w:t xml:space="preserve">Das letzte Kapitel. </w:t>
      </w:r>
      <w:r w:rsidRPr="000F1D9A">
        <w:t>Der Mord an den ungarischen Juden 1944 – 1945. Frankfurt a.M. 2004.</w:t>
      </w:r>
    </w:p>
  </w:footnote>
  <w:footnote w:id="7">
    <w:p w:rsidR="00DE119F" w:rsidRPr="000F1D9A" w:rsidRDefault="00DE119F" w:rsidP="00A94856">
      <w:pPr>
        <w:pStyle w:val="Funotentext"/>
        <w:jc w:val="both"/>
      </w:pPr>
      <w:r w:rsidRPr="000F1D9A">
        <w:rPr>
          <w:rStyle w:val="Funotenzeichen"/>
        </w:rPr>
        <w:footnoteRef/>
      </w:r>
      <w:r w:rsidRPr="000F1D9A">
        <w:t xml:space="preserve"> Das gilt auch für diejenigen, die in „gemischten Ehen“ leben und bislang davon ausgingen, durch diesen Status geschützt zu sein</w:t>
      </w:r>
      <w:r>
        <w:t>,</w:t>
      </w:r>
      <w:r w:rsidRPr="000F1D9A">
        <w:t xml:space="preserve"> selbstverständlich </w:t>
      </w:r>
      <w:r>
        <w:t>ebenso</w:t>
      </w:r>
      <w:r w:rsidRPr="000F1D9A">
        <w:t xml:space="preserve"> für die Kinder aus diesen Ehen. </w:t>
      </w:r>
    </w:p>
  </w:footnote>
  <w:footnote w:id="8">
    <w:p w:rsidR="00DE119F" w:rsidRDefault="00DE119F">
      <w:pPr>
        <w:pStyle w:val="Funotentext"/>
      </w:pPr>
      <w:r>
        <w:rPr>
          <w:rStyle w:val="Funotenzeichen"/>
        </w:rPr>
        <w:footnoteRef/>
      </w:r>
      <w:r>
        <w:t xml:space="preserve"> Dies gilt nicht nur für die von Deutschland okkupierten Staaten, sondern für die gesamte deutsche „Einflus</w:t>
      </w:r>
      <w:r>
        <w:t>s</w:t>
      </w:r>
      <w:r>
        <w:t xml:space="preserve">sphäre“. Vgl. Christopher R. Browning: </w:t>
      </w:r>
      <w:r>
        <w:rPr>
          <w:i/>
        </w:rPr>
        <w:t xml:space="preserve">Die Entfesselung der „Endlösung“, </w:t>
      </w:r>
      <w:r w:rsidRPr="00DF04BF">
        <w:t>a.a.O.</w:t>
      </w:r>
      <w:r>
        <w:t>, Kapitel 5.2, S. 286 – 315. Hier finden sich auch Details zur „Rassenpolitik“ in West- und Südosteuropa.</w:t>
      </w:r>
    </w:p>
  </w:footnote>
  <w:footnote w:id="9">
    <w:p w:rsidR="00DE119F" w:rsidRPr="007F411E" w:rsidRDefault="00DE119F" w:rsidP="00A94856">
      <w:pPr>
        <w:spacing w:after="0" w:line="240" w:lineRule="auto"/>
        <w:jc w:val="both"/>
        <w:rPr>
          <w:sz w:val="20"/>
          <w:szCs w:val="20"/>
        </w:rPr>
      </w:pPr>
      <w:r>
        <w:rPr>
          <w:rStyle w:val="Funotenzeichen"/>
        </w:rPr>
        <w:footnoteRef/>
      </w:r>
      <w:r>
        <w:t xml:space="preserve"> </w:t>
      </w:r>
      <w:r>
        <w:rPr>
          <w:sz w:val="20"/>
          <w:szCs w:val="20"/>
        </w:rPr>
        <w:t xml:space="preserve">Christopher R. Browning stellt das 2. Kapitel seiner Untersuchung </w:t>
      </w:r>
      <w:r>
        <w:rPr>
          <w:i/>
          <w:sz w:val="20"/>
          <w:szCs w:val="20"/>
        </w:rPr>
        <w:t xml:space="preserve">Die Entfesselung der „Endlösung“ </w:t>
      </w:r>
      <w:r w:rsidRPr="00AF2079">
        <w:rPr>
          <w:sz w:val="20"/>
          <w:szCs w:val="20"/>
        </w:rPr>
        <w:t>unter die</w:t>
      </w:r>
      <w:r>
        <w:rPr>
          <w:i/>
          <w:sz w:val="20"/>
          <w:szCs w:val="20"/>
        </w:rPr>
        <w:t xml:space="preserve"> </w:t>
      </w:r>
      <w:r>
        <w:rPr>
          <w:sz w:val="20"/>
          <w:szCs w:val="20"/>
        </w:rPr>
        <w:t xml:space="preserve">Überschrift „Polen – Laboratorium der Rassenpolitik“. Vgl. Christopher R. Browning: </w:t>
      </w:r>
      <w:r>
        <w:rPr>
          <w:i/>
          <w:sz w:val="20"/>
          <w:szCs w:val="20"/>
        </w:rPr>
        <w:t>Die Entfesselung der „Endlösung“</w:t>
      </w:r>
      <w:r>
        <w:rPr>
          <w:sz w:val="20"/>
          <w:szCs w:val="20"/>
        </w:rPr>
        <w:t>, a.a.O., S. 30.</w:t>
      </w:r>
      <w:r>
        <w:rPr>
          <w:i/>
          <w:sz w:val="20"/>
          <w:szCs w:val="20"/>
        </w:rPr>
        <w:t xml:space="preserve"> </w:t>
      </w:r>
      <w:r>
        <w:rPr>
          <w:sz w:val="20"/>
          <w:szCs w:val="20"/>
        </w:rPr>
        <w:t xml:space="preserve">Zu Details siehe </w:t>
      </w:r>
      <w:r w:rsidRPr="00CB457A">
        <w:rPr>
          <w:sz w:val="20"/>
          <w:szCs w:val="20"/>
        </w:rPr>
        <w:t xml:space="preserve">meine Rezension von </w:t>
      </w:r>
      <w:r>
        <w:rPr>
          <w:i/>
          <w:sz w:val="20"/>
          <w:szCs w:val="20"/>
        </w:rPr>
        <w:t xml:space="preserve">Die </w:t>
      </w:r>
      <w:r w:rsidRPr="00E95198">
        <w:rPr>
          <w:i/>
          <w:sz w:val="20"/>
          <w:szCs w:val="20"/>
        </w:rPr>
        <w:t>V</w:t>
      </w:r>
      <w:r>
        <w:rPr>
          <w:i/>
          <w:sz w:val="20"/>
          <w:szCs w:val="20"/>
        </w:rPr>
        <w:t xml:space="preserve">erfolgung und </w:t>
      </w:r>
      <w:r w:rsidRPr="00E95198">
        <w:rPr>
          <w:i/>
          <w:sz w:val="20"/>
          <w:szCs w:val="20"/>
        </w:rPr>
        <w:t>E</w:t>
      </w:r>
      <w:r>
        <w:rPr>
          <w:i/>
          <w:sz w:val="20"/>
          <w:szCs w:val="20"/>
        </w:rPr>
        <w:t>rmordung der europä</w:t>
      </w:r>
      <w:r>
        <w:rPr>
          <w:i/>
          <w:sz w:val="20"/>
          <w:szCs w:val="20"/>
        </w:rPr>
        <w:t>i</w:t>
      </w:r>
      <w:r>
        <w:rPr>
          <w:i/>
          <w:sz w:val="20"/>
          <w:szCs w:val="20"/>
        </w:rPr>
        <w:t xml:space="preserve">schen Juden durch das nationalsozialistische Deutschland 1933 – 1945 </w:t>
      </w:r>
      <w:r>
        <w:rPr>
          <w:sz w:val="20"/>
          <w:szCs w:val="20"/>
        </w:rPr>
        <w:t>[VEJ]</w:t>
      </w:r>
      <w:r w:rsidRPr="00CB457A">
        <w:rPr>
          <w:sz w:val="20"/>
          <w:szCs w:val="20"/>
        </w:rPr>
        <w:t xml:space="preserve">, Bd. 3: </w:t>
      </w:r>
      <w:r w:rsidRPr="00CB457A">
        <w:rPr>
          <w:rFonts w:cstheme="minorBidi"/>
          <w:sz w:val="20"/>
          <w:szCs w:val="20"/>
        </w:rPr>
        <w:t>Der Zusammenbruch eines strukturierten Gemeinwesens und der gesellschaftlichen Normen: Polen. September 1939 – Juli 1941</w:t>
      </w:r>
      <w:r>
        <w:rPr>
          <w:rFonts w:cstheme="minorBidi"/>
          <w:sz w:val="20"/>
          <w:szCs w:val="20"/>
        </w:rPr>
        <w:t xml:space="preserve">. </w:t>
      </w:r>
      <w:r w:rsidRPr="00CB457A">
        <w:rPr>
          <w:sz w:val="20"/>
          <w:szCs w:val="20"/>
        </w:rPr>
        <w:t xml:space="preserve">– In: </w:t>
      </w:r>
      <w:r w:rsidRPr="00CB457A">
        <w:rPr>
          <w:i/>
          <w:sz w:val="20"/>
          <w:szCs w:val="20"/>
        </w:rPr>
        <w:t>Exil</w:t>
      </w:r>
      <w:r>
        <w:rPr>
          <w:i/>
          <w:sz w:val="20"/>
          <w:szCs w:val="20"/>
        </w:rPr>
        <w:t xml:space="preserve"> </w:t>
      </w:r>
      <w:r>
        <w:rPr>
          <w:sz w:val="20"/>
          <w:szCs w:val="20"/>
        </w:rPr>
        <w:t>31 (2011), H. 2, S. 99 – 103.</w:t>
      </w:r>
    </w:p>
  </w:footnote>
  <w:footnote w:id="10">
    <w:p w:rsidR="00DE119F" w:rsidRDefault="00DE119F" w:rsidP="00A94856">
      <w:pPr>
        <w:pStyle w:val="Funotentext"/>
        <w:jc w:val="both"/>
      </w:pPr>
      <w:r>
        <w:rPr>
          <w:rStyle w:val="Funotenzeichen"/>
        </w:rPr>
        <w:footnoteRef/>
      </w:r>
      <w:r>
        <w:t xml:space="preserve"> Götz Aly: „Judenumsiedlung“. Überlegungen zur politischen Vorgeschichte des Holocaust. – In: Nationals</w:t>
      </w:r>
      <w:r>
        <w:t>o</w:t>
      </w:r>
      <w:r>
        <w:t>zialistische Vernichtungspolitik 1939 – 1945. Neue Forschungen und Kontroversen. Hrsg. von Ulrich Herbert. Frankfurt a.M. 1998, S. 67 – 97. Aly überschreibt den fünften Abschnitt dieses Vortrags mit „Die Einübung des Mordens“. Sein Ausgangspunkt sind die Vernichtungen von Geisteskranken im Herbst 1939, und er thematisiert anschließend die Umsiedlungen zwischen Oktober und Dezember 1939 (S. 85).</w:t>
      </w:r>
    </w:p>
  </w:footnote>
  <w:footnote w:id="11">
    <w:p w:rsidR="00DE119F" w:rsidRPr="00093E9D" w:rsidRDefault="00DE119F" w:rsidP="000723B6">
      <w:pPr>
        <w:pStyle w:val="Funotentext"/>
        <w:jc w:val="both"/>
      </w:pPr>
      <w:r w:rsidRPr="00093E9D">
        <w:rPr>
          <w:rStyle w:val="Funotenzeichen"/>
        </w:rPr>
        <w:footnoteRef/>
      </w:r>
      <w:r w:rsidRPr="00093E9D">
        <w:t xml:space="preserve"> </w:t>
      </w:r>
      <w:r>
        <w:t>Vgl.</w:t>
      </w:r>
      <w:r w:rsidRPr="00093E9D">
        <w:t xml:space="preserve"> VEJ, Bd. </w:t>
      </w:r>
      <w:r>
        <w:t>4</w:t>
      </w:r>
      <w:r w:rsidRPr="00093E9D">
        <w:t xml:space="preserve">, </w:t>
      </w:r>
      <w:r>
        <w:t>S. 183 – 187 (</w:t>
      </w:r>
      <w:proofErr w:type="spellStart"/>
      <w:r w:rsidRPr="00093E9D">
        <w:t>Dok</w:t>
      </w:r>
      <w:proofErr w:type="spellEnd"/>
      <w:r w:rsidRPr="00093E9D">
        <w:t>. 62</w:t>
      </w:r>
      <w:r>
        <w:t xml:space="preserve"> vom</w:t>
      </w:r>
      <w:r w:rsidRPr="00093E9D">
        <w:t xml:space="preserve"> 16.12.1939</w:t>
      </w:r>
      <w:r>
        <w:t>).</w:t>
      </w:r>
    </w:p>
  </w:footnote>
  <w:footnote w:id="12">
    <w:p w:rsidR="00DE119F" w:rsidRPr="00093E9D" w:rsidRDefault="00DE119F" w:rsidP="00FD0849">
      <w:pPr>
        <w:pStyle w:val="Funotentext"/>
        <w:jc w:val="both"/>
      </w:pPr>
      <w:r w:rsidRPr="00093E9D">
        <w:rPr>
          <w:rStyle w:val="Funotenzeichen"/>
        </w:rPr>
        <w:footnoteRef/>
      </w:r>
      <w:r w:rsidRPr="00093E9D">
        <w:t xml:space="preserve"> </w:t>
      </w:r>
      <w:r>
        <w:t>Ebd., S. 204 (</w:t>
      </w:r>
      <w:proofErr w:type="spellStart"/>
      <w:r w:rsidRPr="00093E9D">
        <w:t>Dok</w:t>
      </w:r>
      <w:proofErr w:type="spellEnd"/>
      <w:r w:rsidRPr="00093E9D">
        <w:t>. 74</w:t>
      </w:r>
      <w:r>
        <w:t xml:space="preserve"> vom</w:t>
      </w:r>
      <w:r w:rsidRPr="00093E9D">
        <w:t xml:space="preserve"> 14.1.1940</w:t>
      </w:r>
      <w:r>
        <w:t>)</w:t>
      </w:r>
      <w:r w:rsidRPr="00093E9D">
        <w:t>.</w:t>
      </w:r>
    </w:p>
  </w:footnote>
  <w:footnote w:id="13">
    <w:p w:rsidR="00DE119F" w:rsidRPr="00474DE6" w:rsidRDefault="00DE119F">
      <w:pPr>
        <w:pStyle w:val="Funotentext"/>
      </w:pPr>
      <w:r>
        <w:rPr>
          <w:rStyle w:val="Funotenzeichen"/>
        </w:rPr>
        <w:footnoteRef/>
      </w:r>
      <w:r>
        <w:t xml:space="preserve"> Zur nationalsozialistischen Ghettoisierungspolitik vgl. Christopher R. Browning: </w:t>
      </w:r>
      <w:r>
        <w:rPr>
          <w:i/>
        </w:rPr>
        <w:t>Der Weg zur „Endlösung“.</w:t>
      </w:r>
      <w:r>
        <w:t xml:space="preserve"> Entscheidungen und Täter. Bonn 1998, Kap. 2.</w:t>
      </w:r>
    </w:p>
  </w:footnote>
  <w:footnote w:id="14">
    <w:p w:rsidR="00DE119F" w:rsidRPr="00D77CC0" w:rsidRDefault="00DE119F" w:rsidP="00515507">
      <w:pPr>
        <w:pStyle w:val="Funotentext"/>
        <w:jc w:val="both"/>
      </w:pPr>
      <w:r w:rsidRPr="00A90181">
        <w:rPr>
          <w:rStyle w:val="Funotenzeichen"/>
        </w:rPr>
        <w:footnoteRef/>
      </w:r>
      <w:r w:rsidRPr="00A90181">
        <w:t xml:space="preserve"> </w:t>
      </w:r>
      <w:r>
        <w:t>VEJ Bd. 4, S. 193 (</w:t>
      </w:r>
      <w:proofErr w:type="spellStart"/>
      <w:r w:rsidRPr="00D77CC0">
        <w:t>Dok</w:t>
      </w:r>
      <w:proofErr w:type="spellEnd"/>
      <w:r w:rsidRPr="00D77CC0">
        <w:t>. 66</w:t>
      </w:r>
      <w:r>
        <w:t xml:space="preserve"> vom </w:t>
      </w:r>
      <w:r w:rsidRPr="00D77CC0">
        <w:t>21.12.1939</w:t>
      </w:r>
      <w:r>
        <w:t>).</w:t>
      </w:r>
    </w:p>
  </w:footnote>
  <w:footnote w:id="15">
    <w:p w:rsidR="00DE119F" w:rsidRPr="00815345" w:rsidRDefault="00DE119F" w:rsidP="00B66AD9">
      <w:pPr>
        <w:pStyle w:val="Funotentext"/>
        <w:jc w:val="both"/>
      </w:pPr>
      <w:r w:rsidRPr="00815345">
        <w:rPr>
          <w:rStyle w:val="Funotenzeichen"/>
        </w:rPr>
        <w:footnoteRef/>
      </w:r>
      <w:r w:rsidRPr="00815345">
        <w:t xml:space="preserve"> Zur Biografie von Erich </w:t>
      </w:r>
      <w:proofErr w:type="spellStart"/>
      <w:r w:rsidRPr="00815345">
        <w:t>Rinner</w:t>
      </w:r>
      <w:proofErr w:type="spellEnd"/>
      <w:r w:rsidRPr="00815345">
        <w:t xml:space="preserve"> vgl. das </w:t>
      </w:r>
      <w:r w:rsidRPr="00815345">
        <w:rPr>
          <w:i/>
        </w:rPr>
        <w:t xml:space="preserve">Biographische Handbuch der deutschsprachigen Emigration nach 1933, </w:t>
      </w:r>
      <w:r w:rsidRPr="00815345">
        <w:t>Bd. 1.</w:t>
      </w:r>
    </w:p>
  </w:footnote>
  <w:footnote w:id="16">
    <w:p w:rsidR="00DE119F" w:rsidRDefault="00DE119F" w:rsidP="00B66AD9">
      <w:pPr>
        <w:spacing w:after="0" w:line="240" w:lineRule="auto"/>
        <w:jc w:val="both"/>
      </w:pPr>
      <w:r w:rsidRPr="00815345">
        <w:rPr>
          <w:rStyle w:val="Funotenzeichen"/>
          <w:sz w:val="20"/>
          <w:szCs w:val="20"/>
        </w:rPr>
        <w:footnoteRef/>
      </w:r>
      <w:r w:rsidRPr="00815345">
        <w:rPr>
          <w:sz w:val="20"/>
          <w:szCs w:val="20"/>
        </w:rPr>
        <w:t xml:space="preserve"> </w:t>
      </w:r>
      <w:r w:rsidRPr="00815345">
        <w:rPr>
          <w:i/>
          <w:sz w:val="20"/>
          <w:szCs w:val="20"/>
        </w:rPr>
        <w:t>Deutschland-Berichte der Sozialdemokratischen Partei Deutschlands (</w:t>
      </w:r>
      <w:proofErr w:type="spellStart"/>
      <w:r w:rsidRPr="00815345">
        <w:rPr>
          <w:i/>
          <w:sz w:val="20"/>
          <w:szCs w:val="20"/>
        </w:rPr>
        <w:t>Sopade</w:t>
      </w:r>
      <w:proofErr w:type="spellEnd"/>
      <w:r w:rsidRPr="00815345">
        <w:rPr>
          <w:i/>
          <w:sz w:val="20"/>
          <w:szCs w:val="20"/>
        </w:rPr>
        <w:t xml:space="preserve">) 1934-1940 </w:t>
      </w:r>
      <w:r w:rsidRPr="00815345">
        <w:rPr>
          <w:sz w:val="20"/>
          <w:szCs w:val="20"/>
        </w:rPr>
        <w:t>[Reprint]</w:t>
      </w:r>
      <w:r w:rsidRPr="00815345">
        <w:rPr>
          <w:i/>
          <w:sz w:val="20"/>
          <w:szCs w:val="20"/>
        </w:rPr>
        <w:t xml:space="preserve">. </w:t>
      </w:r>
      <w:r w:rsidRPr="00815345">
        <w:rPr>
          <w:sz w:val="20"/>
          <w:szCs w:val="20"/>
        </w:rPr>
        <w:t>Fran</w:t>
      </w:r>
      <w:r w:rsidRPr="00815345">
        <w:rPr>
          <w:sz w:val="20"/>
          <w:szCs w:val="20"/>
        </w:rPr>
        <w:t>k</w:t>
      </w:r>
      <w:r w:rsidRPr="00815345">
        <w:rPr>
          <w:sz w:val="20"/>
          <w:szCs w:val="20"/>
        </w:rPr>
        <w:t xml:space="preserve">furt a.M. 1980. Jg. 4, Juli 1937, Abteilung II: „Der Terror“, </w:t>
      </w:r>
      <w:r>
        <w:rPr>
          <w:sz w:val="20"/>
          <w:szCs w:val="20"/>
        </w:rPr>
        <w:t>„</w:t>
      </w:r>
      <w:r w:rsidRPr="00815345">
        <w:rPr>
          <w:sz w:val="20"/>
          <w:szCs w:val="20"/>
        </w:rPr>
        <w:t>1. Der Terror gegen die Juden</w:t>
      </w:r>
      <w:r>
        <w:rPr>
          <w:sz w:val="20"/>
          <w:szCs w:val="20"/>
        </w:rPr>
        <w:t>“</w:t>
      </w:r>
      <w:r w:rsidRPr="00815345">
        <w:rPr>
          <w:sz w:val="20"/>
          <w:szCs w:val="20"/>
        </w:rPr>
        <w:t>, S. 931 ff.</w:t>
      </w:r>
    </w:p>
  </w:footnote>
  <w:footnote w:id="17">
    <w:p w:rsidR="00DE119F" w:rsidRDefault="00DE119F" w:rsidP="00B66AD9">
      <w:pPr>
        <w:pStyle w:val="Funotentext"/>
        <w:jc w:val="both"/>
      </w:pPr>
      <w:r>
        <w:rPr>
          <w:rStyle w:val="Funotenzeichen"/>
        </w:rPr>
        <w:footnoteRef/>
      </w:r>
      <w:r>
        <w:t xml:space="preserve"> Jg. 4, </w:t>
      </w:r>
      <w:r w:rsidRPr="005C1CF2">
        <w:t>Nov. 37, wieder Abt</w:t>
      </w:r>
      <w:r>
        <w:t>ei</w:t>
      </w:r>
      <w:r w:rsidRPr="005C1CF2">
        <w:t>l</w:t>
      </w:r>
      <w:r>
        <w:t>ung</w:t>
      </w:r>
      <w:r w:rsidRPr="005C1CF2">
        <w:t xml:space="preserve"> II: „Der Terror“, hier unter </w:t>
      </w:r>
      <w:r>
        <w:t>„</w:t>
      </w:r>
      <w:r w:rsidRPr="005C1CF2">
        <w:t>3. Der Terror gegen die Juden</w:t>
      </w:r>
      <w:r>
        <w:t>“</w:t>
      </w:r>
      <w:r w:rsidRPr="005C1CF2">
        <w:t>, S. 1563</w:t>
      </w:r>
      <w:r>
        <w:t>.</w:t>
      </w:r>
    </w:p>
  </w:footnote>
  <w:footnote w:id="18">
    <w:p w:rsidR="00DE119F" w:rsidRDefault="00DE119F" w:rsidP="00B66AD9">
      <w:pPr>
        <w:pStyle w:val="Funotentext"/>
        <w:jc w:val="both"/>
      </w:pPr>
      <w:r>
        <w:rPr>
          <w:rStyle w:val="Funotenzeichen"/>
        </w:rPr>
        <w:footnoteRef/>
      </w:r>
      <w:r>
        <w:t xml:space="preserve"> Jg. 5. 1938, S. 176 – 206. – Die Seitenzahlen im Text beziehen sich auf diesen Abschnitt.</w:t>
      </w:r>
    </w:p>
  </w:footnote>
  <w:footnote w:id="19">
    <w:p w:rsidR="00DE119F" w:rsidRDefault="00DE119F">
      <w:pPr>
        <w:pStyle w:val="Funotentext"/>
      </w:pPr>
      <w:r>
        <w:rPr>
          <w:rStyle w:val="Funotenzeichen"/>
        </w:rPr>
        <w:footnoteRef/>
      </w:r>
      <w:r>
        <w:t xml:space="preserve"> </w:t>
      </w:r>
      <w:r w:rsidRPr="009D0F2B">
        <w:t>Juli 1938: III. Der Terror, 1. Der Terror gegen die Juden, S. 732 f.</w:t>
      </w:r>
    </w:p>
  </w:footnote>
  <w:footnote w:id="20">
    <w:p w:rsidR="00DE119F" w:rsidRDefault="00DE119F">
      <w:pPr>
        <w:pStyle w:val="Funotentext"/>
      </w:pPr>
      <w:r>
        <w:rPr>
          <w:rStyle w:val="Funotenzeichen"/>
        </w:rPr>
        <w:footnoteRef/>
      </w:r>
      <w:r>
        <w:t xml:space="preserve"> 6. Jg. (1939), S. 201. Als Quelle wird die </w:t>
      </w:r>
      <w:r w:rsidRPr="00596B8A">
        <w:t>Sitzung des großdeutschen Reichstags am 30. Januar 1939</w:t>
      </w:r>
      <w:r>
        <w:t xml:space="preserve"> angeführt.</w:t>
      </w:r>
    </w:p>
  </w:footnote>
  <w:footnote w:id="21">
    <w:p w:rsidR="00DE119F" w:rsidRPr="001562A8" w:rsidRDefault="00DE119F">
      <w:pPr>
        <w:pStyle w:val="Funotentext"/>
        <w:rPr>
          <w:i/>
        </w:rPr>
      </w:pPr>
      <w:r>
        <w:rPr>
          <w:rStyle w:val="Funotenzeichen"/>
        </w:rPr>
        <w:footnoteRef/>
      </w:r>
      <w:r>
        <w:t xml:space="preserve"> In der Weimarer Republik war das „Zeitstück“ das aktuellste literarische Genre gewesen. An diese Entwic</w:t>
      </w:r>
      <w:r>
        <w:t>k</w:t>
      </w:r>
      <w:r>
        <w:t xml:space="preserve">lungslinie konnte die Exildramatik nicht anknüpfen. </w:t>
      </w:r>
      <w:r w:rsidRPr="00D549C7">
        <w:t>Insgesamt geht die Produktion dramatischer Texte merklich zurück.</w:t>
      </w:r>
      <w:r>
        <w:t xml:space="preserve"> – Zur Gattungsentwicklung der deutschsprachigen Exilliteratur vgl. Frithjof Trapp: </w:t>
      </w:r>
      <w:r>
        <w:rPr>
          <w:i/>
        </w:rPr>
        <w:t xml:space="preserve">Deutsche Literatur zwischen den Weltkriegen II. </w:t>
      </w:r>
      <w:r>
        <w:t xml:space="preserve">Literatur </w:t>
      </w:r>
      <w:r w:rsidRPr="001562A8">
        <w:t>im Exil.</w:t>
      </w:r>
      <w:r>
        <w:t xml:space="preserve"> Bern, Frankfurt a.M., New York 1983. </w:t>
      </w:r>
    </w:p>
  </w:footnote>
  <w:footnote w:id="22">
    <w:p w:rsidR="00DE119F" w:rsidRPr="00012C13" w:rsidRDefault="00DE119F" w:rsidP="00012C13">
      <w:pPr>
        <w:pStyle w:val="Funotentext"/>
        <w:jc w:val="both"/>
      </w:pPr>
      <w:r>
        <w:rPr>
          <w:rStyle w:val="Funotenzeichen"/>
        </w:rPr>
        <w:footnoteRef/>
      </w:r>
      <w:r>
        <w:t xml:space="preserve"> Selbst Wolfs </w:t>
      </w:r>
      <w:r>
        <w:rPr>
          <w:i/>
        </w:rPr>
        <w:t xml:space="preserve">Professor </w:t>
      </w:r>
      <w:proofErr w:type="spellStart"/>
      <w:r>
        <w:rPr>
          <w:i/>
        </w:rPr>
        <w:t>Mamlock</w:t>
      </w:r>
      <w:proofErr w:type="spellEnd"/>
      <w:r>
        <w:t>, in der späteren Phase das meistgespielte Exildrama schlechthin, stößt a</w:t>
      </w:r>
      <w:r>
        <w:t>n</w:t>
      </w:r>
      <w:r>
        <w:t>fänglich auf Zurückhaltung. Speziell in der Sowjetunion, so Else Wolf in einem Brief an ihren Mann vom 9. März 1935, wird kritisiert, „dass in dem Stück das Rassenproblem sehr im Vordergrund</w:t>
      </w:r>
      <w:r>
        <w:rPr>
          <w:i/>
        </w:rPr>
        <w:t xml:space="preserve"> </w:t>
      </w:r>
      <w:r w:rsidRPr="00A01B00">
        <w:t>stände</w:t>
      </w:r>
      <w:r>
        <w:t>, das hier [in der Sowjetunion] nicht mehr interessieren würde, es wäre eine ‚Lokalangelegenheit‘.“ Diese Sachlage erklärt, we</w:t>
      </w:r>
      <w:r>
        <w:t>s</w:t>
      </w:r>
      <w:r>
        <w:t xml:space="preserve">halb das Stück mehrfach umgearbeitet wurde. Vgl. Maria Teres </w:t>
      </w:r>
      <w:proofErr w:type="spellStart"/>
      <w:r>
        <w:t>Sciacca</w:t>
      </w:r>
      <w:proofErr w:type="spellEnd"/>
      <w:r>
        <w:t>: „</w:t>
      </w:r>
      <w:proofErr w:type="spellStart"/>
      <w:r>
        <w:t>Mamlock</w:t>
      </w:r>
      <w:proofErr w:type="spellEnd"/>
      <w:r>
        <w:t xml:space="preserve">“-Variationen – Ein Drama und seine verschiedenen Fassungen. – In: </w:t>
      </w:r>
      <w:r>
        <w:rPr>
          <w:i/>
        </w:rPr>
        <w:t xml:space="preserve">Exil </w:t>
      </w:r>
      <w:r>
        <w:t>26 (2006), H. 1, S. 37 – 51, hier S. 48.</w:t>
      </w:r>
    </w:p>
  </w:footnote>
  <w:footnote w:id="23">
    <w:p w:rsidR="00DE119F" w:rsidRPr="00012C13" w:rsidRDefault="00DE119F" w:rsidP="00012C13">
      <w:pPr>
        <w:pStyle w:val="Funotentext"/>
        <w:jc w:val="both"/>
      </w:pPr>
      <w:r>
        <w:rPr>
          <w:rStyle w:val="Funotenzeichen"/>
        </w:rPr>
        <w:footnoteRef/>
      </w:r>
      <w:r>
        <w:t xml:space="preserve"> Zu Details vgl. das </w:t>
      </w:r>
      <w:r>
        <w:rPr>
          <w:i/>
        </w:rPr>
        <w:t xml:space="preserve">Handbuch des deutschsprachigen Exiltheaters 1933 – 1945. </w:t>
      </w:r>
      <w:r>
        <w:t xml:space="preserve">Hrsg. von Frithjof Trapp, Werner Mittenzwei, Henning </w:t>
      </w:r>
      <w:proofErr w:type="spellStart"/>
      <w:r>
        <w:t>Rischbieter</w:t>
      </w:r>
      <w:proofErr w:type="spellEnd"/>
      <w:r>
        <w:t xml:space="preserve"> u. Hansjörg Schneider. Bd. 1: </w:t>
      </w:r>
      <w:r>
        <w:rPr>
          <w:i/>
        </w:rPr>
        <w:t>Verfolgung und Exil deutschsprachiger Theaterkünstler.</w:t>
      </w:r>
      <w:r>
        <w:t xml:space="preserve"> München 1999. – Georg Kaiser ist einer der wenigen Dramatiker, der die Produktion kons</w:t>
      </w:r>
      <w:r>
        <w:t>e</w:t>
      </w:r>
      <w:r>
        <w:t xml:space="preserve">quent fortsetzt. Der Grund dafür ist nicht zuletzt, dass sein Asylland die Schweiz ist, er sich also hier Chancen für die Aufführung seiner Stücke ausrechnet. </w:t>
      </w:r>
    </w:p>
  </w:footnote>
  <w:footnote w:id="24">
    <w:p w:rsidR="00DE119F" w:rsidRDefault="00DE119F">
      <w:pPr>
        <w:pStyle w:val="Funotentext"/>
      </w:pPr>
      <w:r>
        <w:rPr>
          <w:rStyle w:val="Funotenzeichen"/>
        </w:rPr>
        <w:footnoteRef/>
      </w:r>
      <w:r>
        <w:t xml:space="preserve"> Vgl. Frithjof Trapp: </w:t>
      </w:r>
      <w:r w:rsidRPr="00E801C5">
        <w:rPr>
          <w:i/>
        </w:rPr>
        <w:t>Deutsche Literatur im Exil</w:t>
      </w:r>
      <w:r>
        <w:t>, a.a.O., S. 139 ff.</w:t>
      </w:r>
    </w:p>
  </w:footnote>
  <w:footnote w:id="25">
    <w:p w:rsidR="00DE119F" w:rsidRPr="001E5162" w:rsidRDefault="00DE119F" w:rsidP="001E5162">
      <w:pPr>
        <w:pStyle w:val="Funotentext"/>
        <w:jc w:val="both"/>
      </w:pPr>
      <w:r>
        <w:rPr>
          <w:rStyle w:val="Funotenzeichen"/>
        </w:rPr>
        <w:footnoteRef/>
      </w:r>
      <w:r>
        <w:t xml:space="preserve"> Klaus Hermsdorf/Gunnar Müller-Waldeck: Experimentelle Prosa im Exil. Bertolt Brecht: „</w:t>
      </w:r>
      <w:proofErr w:type="spellStart"/>
      <w:r>
        <w:t>Tui</w:t>
      </w:r>
      <w:proofErr w:type="spellEnd"/>
      <w:r>
        <w:t xml:space="preserve">“-Roman. – In: </w:t>
      </w:r>
      <w:r>
        <w:rPr>
          <w:i/>
        </w:rPr>
        <w:t xml:space="preserve">Erfahrung Exil. </w:t>
      </w:r>
      <w:r>
        <w:t>Antifaschistische Romane 1933 – 1945. Analysen. Hrsg. von Sigrid Bock u. Manfred Hahn. [Ost-] Berlin u. Weimar 1979, S. 140.</w:t>
      </w:r>
    </w:p>
  </w:footnote>
  <w:footnote w:id="26">
    <w:p w:rsidR="00DE119F" w:rsidRDefault="00DE119F" w:rsidP="004C58D4">
      <w:pPr>
        <w:pStyle w:val="Funotentext"/>
        <w:jc w:val="both"/>
      </w:pPr>
      <w:r>
        <w:rPr>
          <w:rStyle w:val="Funotenzeichen"/>
        </w:rPr>
        <w:footnoteRef/>
      </w:r>
      <w:r>
        <w:t xml:space="preserve"> Hier werden nur Einzelbeispiele aus der Frühphase des Exils genannt.</w:t>
      </w:r>
    </w:p>
  </w:footnote>
  <w:footnote w:id="27">
    <w:p w:rsidR="00DE119F" w:rsidRDefault="00DE119F" w:rsidP="004C58D4">
      <w:pPr>
        <w:pStyle w:val="Funotentext"/>
        <w:jc w:val="both"/>
      </w:pPr>
      <w:r>
        <w:rPr>
          <w:rStyle w:val="Funotenzeichen"/>
        </w:rPr>
        <w:footnoteRef/>
      </w:r>
      <w:r>
        <w:t xml:space="preserve"> Fritz </w:t>
      </w:r>
      <w:proofErr w:type="spellStart"/>
      <w:r>
        <w:t>Landshoff</w:t>
      </w:r>
      <w:proofErr w:type="spellEnd"/>
      <w:r>
        <w:t xml:space="preserve"> wies im persönlichen Gespräch darauf hin, dass er dankbar gewesen ist, dass Vicki Baum ihre Romane im </w:t>
      </w:r>
      <w:proofErr w:type="spellStart"/>
      <w:r>
        <w:t>Querido</w:t>
      </w:r>
      <w:proofErr w:type="spellEnd"/>
      <w:r>
        <w:t xml:space="preserve"> Verlag erscheinen ließ. Die Einnahmen ermöglichten es ihm, auch die Romane Döblins zu veröffentlichen. Der Absatz war in diesem Fall kaum kostendeckend.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757196"/>
      <w:docPartObj>
        <w:docPartGallery w:val="Page Numbers (Top of Page)"/>
        <w:docPartUnique/>
      </w:docPartObj>
    </w:sdtPr>
    <w:sdtEndPr/>
    <w:sdtContent>
      <w:p w:rsidR="00DE119F" w:rsidRDefault="00DE119F">
        <w:pPr>
          <w:pStyle w:val="Kopfzeile"/>
          <w:jc w:val="right"/>
        </w:pPr>
        <w:r>
          <w:fldChar w:fldCharType="begin"/>
        </w:r>
        <w:r>
          <w:instrText>PAGE   \* MERGEFORMAT</w:instrText>
        </w:r>
        <w:r>
          <w:fldChar w:fldCharType="separate"/>
        </w:r>
        <w:r w:rsidR="00461AE5">
          <w:rPr>
            <w:noProof/>
          </w:rPr>
          <w:t>9</w:t>
        </w:r>
        <w:r>
          <w:fldChar w:fldCharType="end"/>
        </w:r>
      </w:p>
    </w:sdtContent>
  </w:sdt>
  <w:p w:rsidR="00DE119F" w:rsidRDefault="00DE119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0DE7"/>
    <w:rsid w:val="00012C13"/>
    <w:rsid w:val="000132C1"/>
    <w:rsid w:val="00013788"/>
    <w:rsid w:val="00014A7A"/>
    <w:rsid w:val="00015DE3"/>
    <w:rsid w:val="00022226"/>
    <w:rsid w:val="0002223B"/>
    <w:rsid w:val="00024094"/>
    <w:rsid w:val="00030657"/>
    <w:rsid w:val="000433D3"/>
    <w:rsid w:val="000442B1"/>
    <w:rsid w:val="0004508B"/>
    <w:rsid w:val="00051608"/>
    <w:rsid w:val="00052A95"/>
    <w:rsid w:val="0005682D"/>
    <w:rsid w:val="00057F88"/>
    <w:rsid w:val="000604E6"/>
    <w:rsid w:val="000612BD"/>
    <w:rsid w:val="000723B6"/>
    <w:rsid w:val="00091126"/>
    <w:rsid w:val="00093EF1"/>
    <w:rsid w:val="000943B5"/>
    <w:rsid w:val="00097A46"/>
    <w:rsid w:val="000C46A1"/>
    <w:rsid w:val="000F0815"/>
    <w:rsid w:val="000F284A"/>
    <w:rsid w:val="00106D87"/>
    <w:rsid w:val="0012210F"/>
    <w:rsid w:val="00123C73"/>
    <w:rsid w:val="00123ED3"/>
    <w:rsid w:val="0014210A"/>
    <w:rsid w:val="00143388"/>
    <w:rsid w:val="00144156"/>
    <w:rsid w:val="00154AFA"/>
    <w:rsid w:val="001562A8"/>
    <w:rsid w:val="00156D87"/>
    <w:rsid w:val="0016325F"/>
    <w:rsid w:val="00164FBB"/>
    <w:rsid w:val="00166A4D"/>
    <w:rsid w:val="00183153"/>
    <w:rsid w:val="001917A2"/>
    <w:rsid w:val="001A03CF"/>
    <w:rsid w:val="001A31C2"/>
    <w:rsid w:val="001B27CF"/>
    <w:rsid w:val="001B2D88"/>
    <w:rsid w:val="001B2F11"/>
    <w:rsid w:val="001B4EF6"/>
    <w:rsid w:val="001C4C5E"/>
    <w:rsid w:val="001D1AA5"/>
    <w:rsid w:val="001D51FF"/>
    <w:rsid w:val="001E5162"/>
    <w:rsid w:val="001F5D48"/>
    <w:rsid w:val="00203087"/>
    <w:rsid w:val="00203B46"/>
    <w:rsid w:val="00204524"/>
    <w:rsid w:val="002139F7"/>
    <w:rsid w:val="002150D1"/>
    <w:rsid w:val="002166E0"/>
    <w:rsid w:val="00220128"/>
    <w:rsid w:val="002257DA"/>
    <w:rsid w:val="002545F0"/>
    <w:rsid w:val="002642A8"/>
    <w:rsid w:val="00264A93"/>
    <w:rsid w:val="00267E0C"/>
    <w:rsid w:val="00271F3D"/>
    <w:rsid w:val="00274F7A"/>
    <w:rsid w:val="00275676"/>
    <w:rsid w:val="00280CB7"/>
    <w:rsid w:val="00283219"/>
    <w:rsid w:val="0028666E"/>
    <w:rsid w:val="00291822"/>
    <w:rsid w:val="00291948"/>
    <w:rsid w:val="002921A8"/>
    <w:rsid w:val="0029239C"/>
    <w:rsid w:val="0029625D"/>
    <w:rsid w:val="002A34E6"/>
    <w:rsid w:val="002B10B6"/>
    <w:rsid w:val="002B41F1"/>
    <w:rsid w:val="002C4066"/>
    <w:rsid w:val="002D17A6"/>
    <w:rsid w:val="002D1C1B"/>
    <w:rsid w:val="002E2059"/>
    <w:rsid w:val="002E58B5"/>
    <w:rsid w:val="002E59DA"/>
    <w:rsid w:val="00304369"/>
    <w:rsid w:val="003075A1"/>
    <w:rsid w:val="0031103E"/>
    <w:rsid w:val="0033194E"/>
    <w:rsid w:val="0033774D"/>
    <w:rsid w:val="0033783B"/>
    <w:rsid w:val="00346DAF"/>
    <w:rsid w:val="00362ADC"/>
    <w:rsid w:val="00375F3B"/>
    <w:rsid w:val="00376FD5"/>
    <w:rsid w:val="00380375"/>
    <w:rsid w:val="00394EE5"/>
    <w:rsid w:val="00396DED"/>
    <w:rsid w:val="003A7948"/>
    <w:rsid w:val="003B7732"/>
    <w:rsid w:val="003D2278"/>
    <w:rsid w:val="003D28C3"/>
    <w:rsid w:val="003D78E5"/>
    <w:rsid w:val="003E0DB1"/>
    <w:rsid w:val="003E6DFF"/>
    <w:rsid w:val="003E7D1F"/>
    <w:rsid w:val="003F47D1"/>
    <w:rsid w:val="004235BB"/>
    <w:rsid w:val="00433C1A"/>
    <w:rsid w:val="004449E0"/>
    <w:rsid w:val="004467A8"/>
    <w:rsid w:val="00450B16"/>
    <w:rsid w:val="00453283"/>
    <w:rsid w:val="00454A3B"/>
    <w:rsid w:val="00457BF7"/>
    <w:rsid w:val="00461AE5"/>
    <w:rsid w:val="004662AC"/>
    <w:rsid w:val="00466AF7"/>
    <w:rsid w:val="00471240"/>
    <w:rsid w:val="00474DE6"/>
    <w:rsid w:val="004758AD"/>
    <w:rsid w:val="00477296"/>
    <w:rsid w:val="00483188"/>
    <w:rsid w:val="004870E8"/>
    <w:rsid w:val="00497205"/>
    <w:rsid w:val="004A7862"/>
    <w:rsid w:val="004B2ACD"/>
    <w:rsid w:val="004B2D3F"/>
    <w:rsid w:val="004C58D4"/>
    <w:rsid w:val="004C6644"/>
    <w:rsid w:val="004D6B56"/>
    <w:rsid w:val="004E10F3"/>
    <w:rsid w:val="004E4332"/>
    <w:rsid w:val="004E6441"/>
    <w:rsid w:val="004F1913"/>
    <w:rsid w:val="004F4861"/>
    <w:rsid w:val="00510EC7"/>
    <w:rsid w:val="005123B4"/>
    <w:rsid w:val="00514BC9"/>
    <w:rsid w:val="00515275"/>
    <w:rsid w:val="00515507"/>
    <w:rsid w:val="0052645B"/>
    <w:rsid w:val="00526659"/>
    <w:rsid w:val="00542E5B"/>
    <w:rsid w:val="005536F6"/>
    <w:rsid w:val="00560AF2"/>
    <w:rsid w:val="00566AB2"/>
    <w:rsid w:val="00570566"/>
    <w:rsid w:val="005750C3"/>
    <w:rsid w:val="00576E4A"/>
    <w:rsid w:val="00577CEE"/>
    <w:rsid w:val="0058123D"/>
    <w:rsid w:val="00596741"/>
    <w:rsid w:val="00596B8A"/>
    <w:rsid w:val="005A1D5E"/>
    <w:rsid w:val="005B67CA"/>
    <w:rsid w:val="005C529F"/>
    <w:rsid w:val="005C6AB0"/>
    <w:rsid w:val="005C7EFE"/>
    <w:rsid w:val="005D6353"/>
    <w:rsid w:val="005E4FBD"/>
    <w:rsid w:val="00601E50"/>
    <w:rsid w:val="00603B1A"/>
    <w:rsid w:val="00622F4D"/>
    <w:rsid w:val="00623790"/>
    <w:rsid w:val="00626287"/>
    <w:rsid w:val="006425FF"/>
    <w:rsid w:val="006535D7"/>
    <w:rsid w:val="00661C9F"/>
    <w:rsid w:val="00673E07"/>
    <w:rsid w:val="00675458"/>
    <w:rsid w:val="00675F49"/>
    <w:rsid w:val="00683D62"/>
    <w:rsid w:val="00690DA5"/>
    <w:rsid w:val="00695CAE"/>
    <w:rsid w:val="0069670D"/>
    <w:rsid w:val="0069792C"/>
    <w:rsid w:val="006A6FFA"/>
    <w:rsid w:val="006B11D7"/>
    <w:rsid w:val="006B47E8"/>
    <w:rsid w:val="006B593B"/>
    <w:rsid w:val="006B6ACA"/>
    <w:rsid w:val="006D46F5"/>
    <w:rsid w:val="006F12B3"/>
    <w:rsid w:val="0070139E"/>
    <w:rsid w:val="00701EAC"/>
    <w:rsid w:val="0070285F"/>
    <w:rsid w:val="007144F3"/>
    <w:rsid w:val="00717C97"/>
    <w:rsid w:val="00730EF1"/>
    <w:rsid w:val="00740EE3"/>
    <w:rsid w:val="0075050F"/>
    <w:rsid w:val="007678B8"/>
    <w:rsid w:val="00773540"/>
    <w:rsid w:val="00791B11"/>
    <w:rsid w:val="00791C67"/>
    <w:rsid w:val="00793E6D"/>
    <w:rsid w:val="007B0D45"/>
    <w:rsid w:val="007B573D"/>
    <w:rsid w:val="007D2E90"/>
    <w:rsid w:val="007D7423"/>
    <w:rsid w:val="007E0506"/>
    <w:rsid w:val="007E110B"/>
    <w:rsid w:val="007F411E"/>
    <w:rsid w:val="008003A8"/>
    <w:rsid w:val="008009CD"/>
    <w:rsid w:val="008048A3"/>
    <w:rsid w:val="008078BB"/>
    <w:rsid w:val="00816BF3"/>
    <w:rsid w:val="00816D18"/>
    <w:rsid w:val="008250F2"/>
    <w:rsid w:val="008268B1"/>
    <w:rsid w:val="0082745D"/>
    <w:rsid w:val="008511EB"/>
    <w:rsid w:val="008577D1"/>
    <w:rsid w:val="00857D95"/>
    <w:rsid w:val="008808A0"/>
    <w:rsid w:val="00884BC1"/>
    <w:rsid w:val="008B37E3"/>
    <w:rsid w:val="008B54B6"/>
    <w:rsid w:val="008D1753"/>
    <w:rsid w:val="008D3A8D"/>
    <w:rsid w:val="008D52EE"/>
    <w:rsid w:val="008D6623"/>
    <w:rsid w:val="008F42FD"/>
    <w:rsid w:val="008F5C87"/>
    <w:rsid w:val="009027FC"/>
    <w:rsid w:val="00906793"/>
    <w:rsid w:val="00920491"/>
    <w:rsid w:val="00936371"/>
    <w:rsid w:val="0094536D"/>
    <w:rsid w:val="00945911"/>
    <w:rsid w:val="0094623D"/>
    <w:rsid w:val="00960AC3"/>
    <w:rsid w:val="0097254D"/>
    <w:rsid w:val="00974BBB"/>
    <w:rsid w:val="00980640"/>
    <w:rsid w:val="009853FE"/>
    <w:rsid w:val="00990544"/>
    <w:rsid w:val="00990702"/>
    <w:rsid w:val="009A2E8D"/>
    <w:rsid w:val="009A5C12"/>
    <w:rsid w:val="009B0928"/>
    <w:rsid w:val="009C4DBD"/>
    <w:rsid w:val="009D0F2B"/>
    <w:rsid w:val="009D6982"/>
    <w:rsid w:val="009E6A34"/>
    <w:rsid w:val="00A01B00"/>
    <w:rsid w:val="00A03ECE"/>
    <w:rsid w:val="00A115BE"/>
    <w:rsid w:val="00A1785B"/>
    <w:rsid w:val="00A223B2"/>
    <w:rsid w:val="00A35D0A"/>
    <w:rsid w:val="00A4128C"/>
    <w:rsid w:val="00A427A8"/>
    <w:rsid w:val="00A559E0"/>
    <w:rsid w:val="00A56982"/>
    <w:rsid w:val="00A60A86"/>
    <w:rsid w:val="00A61902"/>
    <w:rsid w:val="00A703F9"/>
    <w:rsid w:val="00A75EC2"/>
    <w:rsid w:val="00A76ECF"/>
    <w:rsid w:val="00A94856"/>
    <w:rsid w:val="00A97A85"/>
    <w:rsid w:val="00AA46F1"/>
    <w:rsid w:val="00AA6C36"/>
    <w:rsid w:val="00AB0F5D"/>
    <w:rsid w:val="00AB2AA9"/>
    <w:rsid w:val="00AC2366"/>
    <w:rsid w:val="00AF2079"/>
    <w:rsid w:val="00B11BA1"/>
    <w:rsid w:val="00B156E0"/>
    <w:rsid w:val="00B17369"/>
    <w:rsid w:val="00B24625"/>
    <w:rsid w:val="00B31415"/>
    <w:rsid w:val="00B33859"/>
    <w:rsid w:val="00B351E4"/>
    <w:rsid w:val="00B41A15"/>
    <w:rsid w:val="00B4307F"/>
    <w:rsid w:val="00B43EA5"/>
    <w:rsid w:val="00B513F9"/>
    <w:rsid w:val="00B52579"/>
    <w:rsid w:val="00B55716"/>
    <w:rsid w:val="00B62A93"/>
    <w:rsid w:val="00B66AD9"/>
    <w:rsid w:val="00B77631"/>
    <w:rsid w:val="00B83164"/>
    <w:rsid w:val="00B909F7"/>
    <w:rsid w:val="00B9677B"/>
    <w:rsid w:val="00BA0DE7"/>
    <w:rsid w:val="00BB1A36"/>
    <w:rsid w:val="00BB30EB"/>
    <w:rsid w:val="00BD4428"/>
    <w:rsid w:val="00BE5FFA"/>
    <w:rsid w:val="00C07358"/>
    <w:rsid w:val="00C135C4"/>
    <w:rsid w:val="00C22D46"/>
    <w:rsid w:val="00C25894"/>
    <w:rsid w:val="00C31D0E"/>
    <w:rsid w:val="00C401AF"/>
    <w:rsid w:val="00C44F16"/>
    <w:rsid w:val="00C45BC1"/>
    <w:rsid w:val="00C523E9"/>
    <w:rsid w:val="00C603E6"/>
    <w:rsid w:val="00C841E0"/>
    <w:rsid w:val="00C92FEF"/>
    <w:rsid w:val="00C96C90"/>
    <w:rsid w:val="00CB457A"/>
    <w:rsid w:val="00CB4ACE"/>
    <w:rsid w:val="00CC26E0"/>
    <w:rsid w:val="00CC3094"/>
    <w:rsid w:val="00CC5E6F"/>
    <w:rsid w:val="00CC60F5"/>
    <w:rsid w:val="00CD324C"/>
    <w:rsid w:val="00CE07FF"/>
    <w:rsid w:val="00CE7548"/>
    <w:rsid w:val="00CF07DC"/>
    <w:rsid w:val="00D135AB"/>
    <w:rsid w:val="00D17A1F"/>
    <w:rsid w:val="00D17FB8"/>
    <w:rsid w:val="00D214CC"/>
    <w:rsid w:val="00D261EF"/>
    <w:rsid w:val="00D32640"/>
    <w:rsid w:val="00D34E1C"/>
    <w:rsid w:val="00D40423"/>
    <w:rsid w:val="00D410FE"/>
    <w:rsid w:val="00D4560E"/>
    <w:rsid w:val="00D549C7"/>
    <w:rsid w:val="00D741E2"/>
    <w:rsid w:val="00D87A3B"/>
    <w:rsid w:val="00D9001A"/>
    <w:rsid w:val="00D9069C"/>
    <w:rsid w:val="00DA0F43"/>
    <w:rsid w:val="00DA3932"/>
    <w:rsid w:val="00DB5500"/>
    <w:rsid w:val="00DB6F3A"/>
    <w:rsid w:val="00DB77D2"/>
    <w:rsid w:val="00DC277A"/>
    <w:rsid w:val="00DE119F"/>
    <w:rsid w:val="00DF04BF"/>
    <w:rsid w:val="00E25FC7"/>
    <w:rsid w:val="00E27A58"/>
    <w:rsid w:val="00E35A2A"/>
    <w:rsid w:val="00E374C8"/>
    <w:rsid w:val="00E375CE"/>
    <w:rsid w:val="00E43096"/>
    <w:rsid w:val="00E47090"/>
    <w:rsid w:val="00E513D4"/>
    <w:rsid w:val="00E667FF"/>
    <w:rsid w:val="00E74B8F"/>
    <w:rsid w:val="00E801C5"/>
    <w:rsid w:val="00E841EF"/>
    <w:rsid w:val="00E84A6F"/>
    <w:rsid w:val="00E85B15"/>
    <w:rsid w:val="00E95198"/>
    <w:rsid w:val="00E9732F"/>
    <w:rsid w:val="00EB0C99"/>
    <w:rsid w:val="00EC12D1"/>
    <w:rsid w:val="00ED0A9E"/>
    <w:rsid w:val="00ED6551"/>
    <w:rsid w:val="00EE06DE"/>
    <w:rsid w:val="00EE43E7"/>
    <w:rsid w:val="00EE591C"/>
    <w:rsid w:val="00EF18FA"/>
    <w:rsid w:val="00EF7C45"/>
    <w:rsid w:val="00F05C43"/>
    <w:rsid w:val="00F05E0E"/>
    <w:rsid w:val="00F11742"/>
    <w:rsid w:val="00F25278"/>
    <w:rsid w:val="00F44711"/>
    <w:rsid w:val="00F558F8"/>
    <w:rsid w:val="00F55C32"/>
    <w:rsid w:val="00F560D9"/>
    <w:rsid w:val="00F61B81"/>
    <w:rsid w:val="00F65D92"/>
    <w:rsid w:val="00F97190"/>
    <w:rsid w:val="00FB0D95"/>
    <w:rsid w:val="00FC506B"/>
    <w:rsid w:val="00FC7554"/>
    <w:rsid w:val="00FD0849"/>
    <w:rsid w:val="00FD2321"/>
    <w:rsid w:val="00FD764A"/>
    <w:rsid w:val="00FE1BCC"/>
    <w:rsid w:val="00FF04A5"/>
    <w:rsid w:val="00FF45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59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0D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0DE7"/>
  </w:style>
  <w:style w:type="paragraph" w:styleId="Fuzeile">
    <w:name w:val="footer"/>
    <w:basedOn w:val="Standard"/>
    <w:link w:val="FuzeileZchn"/>
    <w:uiPriority w:val="99"/>
    <w:unhideWhenUsed/>
    <w:rsid w:val="00BA0D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0DE7"/>
  </w:style>
  <w:style w:type="paragraph" w:styleId="Funotentext">
    <w:name w:val="footnote text"/>
    <w:basedOn w:val="Standard"/>
    <w:link w:val="FunotentextZchn"/>
    <w:uiPriority w:val="99"/>
    <w:semiHidden/>
    <w:unhideWhenUsed/>
    <w:rsid w:val="0049720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97205"/>
    <w:rPr>
      <w:sz w:val="20"/>
      <w:szCs w:val="20"/>
    </w:rPr>
  </w:style>
  <w:style w:type="character" w:styleId="Funotenzeichen">
    <w:name w:val="footnote reference"/>
    <w:basedOn w:val="Absatz-Standardschriftart"/>
    <w:uiPriority w:val="99"/>
    <w:semiHidden/>
    <w:unhideWhenUsed/>
    <w:rsid w:val="00497205"/>
    <w:rPr>
      <w:vertAlign w:val="superscript"/>
    </w:rPr>
  </w:style>
  <w:style w:type="paragraph" w:styleId="Sprechblasentext">
    <w:name w:val="Balloon Text"/>
    <w:basedOn w:val="Standard"/>
    <w:link w:val="SprechblasentextZchn"/>
    <w:uiPriority w:val="99"/>
    <w:semiHidden/>
    <w:unhideWhenUsed/>
    <w:rsid w:val="0033194E"/>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33194E"/>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FD56C-9D98-41C2-89FE-775468A1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3809</Words>
  <Characters>24002</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2</cp:revision>
  <cp:lastPrinted>2013-10-29T08:14:00Z</cp:lastPrinted>
  <dcterms:created xsi:type="dcterms:W3CDTF">2013-10-29T08:21:00Z</dcterms:created>
  <dcterms:modified xsi:type="dcterms:W3CDTF">2013-10-29T08:21:00Z</dcterms:modified>
</cp:coreProperties>
</file>