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34" w:rsidRPr="003724BA" w:rsidRDefault="003724BA" w:rsidP="00E41506">
      <w:pPr>
        <w:spacing w:after="0"/>
        <w:jc w:val="both"/>
        <w:rPr>
          <w:b/>
          <w:sz w:val="24"/>
          <w:szCs w:val="24"/>
        </w:rPr>
      </w:pPr>
      <w:bookmarkStart w:id="0" w:name="_GoBack"/>
      <w:r w:rsidRPr="003724BA">
        <w:rPr>
          <w:b/>
          <w:sz w:val="24"/>
          <w:szCs w:val="24"/>
        </w:rPr>
        <w:t>(</w:t>
      </w:r>
      <w:r w:rsidR="00963745">
        <w:rPr>
          <w:b/>
          <w:sz w:val="24"/>
          <w:szCs w:val="24"/>
        </w:rPr>
        <w:t>30</w:t>
      </w:r>
      <w:r w:rsidRPr="003724BA">
        <w:rPr>
          <w:b/>
          <w:sz w:val="24"/>
          <w:szCs w:val="24"/>
        </w:rPr>
        <w:t xml:space="preserve">) Kapitel </w:t>
      </w:r>
      <w:r w:rsidR="008C7BC7">
        <w:rPr>
          <w:b/>
          <w:sz w:val="24"/>
          <w:szCs w:val="24"/>
        </w:rPr>
        <w:t>10</w:t>
      </w:r>
      <w:r w:rsidRPr="003724BA">
        <w:rPr>
          <w:b/>
          <w:sz w:val="24"/>
          <w:szCs w:val="24"/>
        </w:rPr>
        <w:t>: Krise und Desillusionierung</w:t>
      </w:r>
    </w:p>
    <w:p w:rsidR="003724BA" w:rsidRDefault="003724BA" w:rsidP="00E41506">
      <w:pPr>
        <w:spacing w:after="0"/>
        <w:jc w:val="both"/>
        <w:rPr>
          <w:sz w:val="24"/>
          <w:szCs w:val="24"/>
        </w:rPr>
      </w:pPr>
    </w:p>
    <w:p w:rsidR="004F1819" w:rsidRDefault="00535D07" w:rsidP="00E41506">
      <w:pPr>
        <w:spacing w:after="0"/>
        <w:jc w:val="both"/>
        <w:rPr>
          <w:sz w:val="24"/>
          <w:szCs w:val="24"/>
        </w:rPr>
      </w:pPr>
      <w:r>
        <w:rPr>
          <w:sz w:val="24"/>
          <w:szCs w:val="24"/>
        </w:rPr>
        <w:t>Die Zeit</w:t>
      </w:r>
      <w:r w:rsidR="00D507E5">
        <w:rPr>
          <w:sz w:val="24"/>
          <w:szCs w:val="24"/>
        </w:rPr>
        <w:t xml:space="preserve"> zwischen Juni 1935 und </w:t>
      </w:r>
      <w:r w:rsidR="00B0728E">
        <w:rPr>
          <w:sz w:val="24"/>
          <w:szCs w:val="24"/>
        </w:rPr>
        <w:t>April</w:t>
      </w:r>
      <w:r w:rsidR="00D507E5">
        <w:rPr>
          <w:sz w:val="24"/>
          <w:szCs w:val="24"/>
        </w:rPr>
        <w:t xml:space="preserve"> 1937 </w:t>
      </w:r>
      <w:r>
        <w:rPr>
          <w:sz w:val="24"/>
          <w:szCs w:val="24"/>
        </w:rPr>
        <w:t>wird von</w:t>
      </w:r>
      <w:r w:rsidR="00867D0F">
        <w:rPr>
          <w:sz w:val="24"/>
          <w:szCs w:val="24"/>
        </w:rPr>
        <w:t xml:space="preserve"> </w:t>
      </w:r>
      <w:r w:rsidR="00D507E5">
        <w:rPr>
          <w:sz w:val="24"/>
          <w:szCs w:val="24"/>
        </w:rPr>
        <w:t>intensive</w:t>
      </w:r>
      <w:r>
        <w:rPr>
          <w:sz w:val="24"/>
          <w:szCs w:val="24"/>
        </w:rPr>
        <w:t>n</w:t>
      </w:r>
      <w:r w:rsidR="00D507E5">
        <w:rPr>
          <w:sz w:val="24"/>
          <w:szCs w:val="24"/>
        </w:rPr>
        <w:t xml:space="preserve"> Bemühungen um </w:t>
      </w:r>
      <w:r w:rsidR="00E76F13">
        <w:rPr>
          <w:sz w:val="24"/>
          <w:szCs w:val="24"/>
        </w:rPr>
        <w:t>di</w:t>
      </w:r>
      <w:r w:rsidR="00D507E5">
        <w:rPr>
          <w:sz w:val="24"/>
          <w:szCs w:val="24"/>
        </w:rPr>
        <w:t>e „Ei</w:t>
      </w:r>
      <w:r w:rsidR="00D507E5">
        <w:rPr>
          <w:sz w:val="24"/>
          <w:szCs w:val="24"/>
        </w:rPr>
        <w:t>n</w:t>
      </w:r>
      <w:r w:rsidR="00D507E5">
        <w:rPr>
          <w:sz w:val="24"/>
          <w:szCs w:val="24"/>
        </w:rPr>
        <w:t>heits</w:t>
      </w:r>
      <w:r w:rsidR="00DA7D8C">
        <w:rPr>
          <w:sz w:val="24"/>
          <w:szCs w:val="24"/>
        </w:rPr>
        <w:t>-“ bzw. „Volks</w:t>
      </w:r>
      <w:r w:rsidR="00D507E5">
        <w:rPr>
          <w:sz w:val="24"/>
          <w:szCs w:val="24"/>
        </w:rPr>
        <w:t xml:space="preserve">front“ </w:t>
      </w:r>
      <w:r w:rsidR="003759F7">
        <w:rPr>
          <w:sz w:val="24"/>
          <w:szCs w:val="24"/>
        </w:rPr>
        <w:t>bestimmt.</w:t>
      </w:r>
      <w:r w:rsidR="006B5D08">
        <w:rPr>
          <w:rStyle w:val="Funotenzeichen"/>
          <w:sz w:val="24"/>
          <w:szCs w:val="24"/>
        </w:rPr>
        <w:footnoteReference w:id="1"/>
      </w:r>
      <w:r w:rsidR="00D507E5">
        <w:rPr>
          <w:sz w:val="24"/>
          <w:szCs w:val="24"/>
        </w:rPr>
        <w:t xml:space="preserve"> </w:t>
      </w:r>
      <w:r>
        <w:rPr>
          <w:sz w:val="24"/>
          <w:szCs w:val="24"/>
        </w:rPr>
        <w:t xml:space="preserve">An diesem Prozess sind die politischen Parteien ebenso beteiligt wie das Schriftstellerexil. </w:t>
      </w:r>
      <w:r w:rsidR="003759F7">
        <w:rPr>
          <w:sz w:val="24"/>
          <w:szCs w:val="24"/>
        </w:rPr>
        <w:t xml:space="preserve">Nach außen hin </w:t>
      </w:r>
      <w:r w:rsidR="006B5D08">
        <w:rPr>
          <w:sz w:val="24"/>
          <w:szCs w:val="24"/>
        </w:rPr>
        <w:t>ha</w:t>
      </w:r>
      <w:r w:rsidR="003759F7">
        <w:rPr>
          <w:sz w:val="24"/>
          <w:szCs w:val="24"/>
        </w:rPr>
        <w:t xml:space="preserve">t es </w:t>
      </w:r>
      <w:r w:rsidR="006B5D08">
        <w:rPr>
          <w:sz w:val="24"/>
          <w:szCs w:val="24"/>
        </w:rPr>
        <w:t>den Anschein</w:t>
      </w:r>
      <w:r w:rsidR="002B3FCB">
        <w:rPr>
          <w:sz w:val="24"/>
          <w:szCs w:val="24"/>
        </w:rPr>
        <w:t xml:space="preserve">, </w:t>
      </w:r>
      <w:r w:rsidR="003759F7">
        <w:rPr>
          <w:sz w:val="24"/>
          <w:szCs w:val="24"/>
        </w:rPr>
        <w:t xml:space="preserve">als ob </w:t>
      </w:r>
      <w:r w:rsidR="002B3FCB">
        <w:rPr>
          <w:sz w:val="24"/>
          <w:szCs w:val="24"/>
        </w:rPr>
        <w:t>die Zer</w:t>
      </w:r>
      <w:r w:rsidR="003759F7">
        <w:rPr>
          <w:sz w:val="24"/>
          <w:szCs w:val="24"/>
        </w:rPr>
        <w:t>wür</w:t>
      </w:r>
      <w:r w:rsidR="003759F7">
        <w:rPr>
          <w:sz w:val="24"/>
          <w:szCs w:val="24"/>
        </w:rPr>
        <w:t>f</w:t>
      </w:r>
      <w:r w:rsidR="003759F7">
        <w:rPr>
          <w:sz w:val="24"/>
          <w:szCs w:val="24"/>
        </w:rPr>
        <w:t xml:space="preserve">nisse, die bislang </w:t>
      </w:r>
      <w:r w:rsidR="00E76F13">
        <w:rPr>
          <w:sz w:val="24"/>
          <w:szCs w:val="24"/>
        </w:rPr>
        <w:t>d</w:t>
      </w:r>
      <w:r w:rsidR="006B5D08">
        <w:rPr>
          <w:sz w:val="24"/>
          <w:szCs w:val="24"/>
        </w:rPr>
        <w:t>em</w:t>
      </w:r>
      <w:r w:rsidR="003759F7">
        <w:rPr>
          <w:sz w:val="24"/>
          <w:szCs w:val="24"/>
        </w:rPr>
        <w:t xml:space="preserve"> koordinierte</w:t>
      </w:r>
      <w:r w:rsidR="006B5D08">
        <w:rPr>
          <w:sz w:val="24"/>
          <w:szCs w:val="24"/>
        </w:rPr>
        <w:t>n</w:t>
      </w:r>
      <w:r w:rsidR="003759F7">
        <w:rPr>
          <w:sz w:val="24"/>
          <w:szCs w:val="24"/>
        </w:rPr>
        <w:t xml:space="preserve"> Agieren </w:t>
      </w:r>
      <w:r w:rsidR="006B5D08">
        <w:rPr>
          <w:sz w:val="24"/>
          <w:szCs w:val="24"/>
        </w:rPr>
        <w:t>im Wege gestanden</w:t>
      </w:r>
      <w:r w:rsidR="003759F7">
        <w:rPr>
          <w:sz w:val="24"/>
          <w:szCs w:val="24"/>
        </w:rPr>
        <w:t xml:space="preserve"> hatte</w:t>
      </w:r>
      <w:r w:rsidR="006B5D08">
        <w:rPr>
          <w:sz w:val="24"/>
          <w:szCs w:val="24"/>
        </w:rPr>
        <w:t>n</w:t>
      </w:r>
      <w:r w:rsidR="003759F7">
        <w:rPr>
          <w:sz w:val="24"/>
          <w:szCs w:val="24"/>
        </w:rPr>
        <w:t xml:space="preserve">, </w:t>
      </w:r>
      <w:r w:rsidR="00DA7D8C">
        <w:rPr>
          <w:sz w:val="24"/>
          <w:szCs w:val="24"/>
        </w:rPr>
        <w:t xml:space="preserve">nunmehr </w:t>
      </w:r>
      <w:r w:rsidR="002B3FCB">
        <w:rPr>
          <w:sz w:val="24"/>
          <w:szCs w:val="24"/>
        </w:rPr>
        <w:t>überwu</w:t>
      </w:r>
      <w:r w:rsidR="002B3FCB">
        <w:rPr>
          <w:sz w:val="24"/>
          <w:szCs w:val="24"/>
        </w:rPr>
        <w:t>n</w:t>
      </w:r>
      <w:r w:rsidR="002B3FCB">
        <w:rPr>
          <w:sz w:val="24"/>
          <w:szCs w:val="24"/>
        </w:rPr>
        <w:t>den</w:t>
      </w:r>
      <w:r w:rsidR="003759F7" w:rsidRPr="003759F7">
        <w:rPr>
          <w:sz w:val="24"/>
          <w:szCs w:val="24"/>
        </w:rPr>
        <w:t xml:space="preserve"> </w:t>
      </w:r>
      <w:r w:rsidR="003759F7">
        <w:rPr>
          <w:sz w:val="24"/>
          <w:szCs w:val="24"/>
        </w:rPr>
        <w:t>seien</w:t>
      </w:r>
      <w:r w:rsidR="00E76F13">
        <w:rPr>
          <w:sz w:val="24"/>
          <w:szCs w:val="24"/>
        </w:rPr>
        <w:t>;</w:t>
      </w:r>
      <w:r w:rsidR="00F65DDC">
        <w:rPr>
          <w:sz w:val="24"/>
          <w:szCs w:val="24"/>
        </w:rPr>
        <w:t xml:space="preserve"> </w:t>
      </w:r>
      <w:r w:rsidR="003759F7">
        <w:rPr>
          <w:sz w:val="24"/>
          <w:szCs w:val="24"/>
        </w:rPr>
        <w:t>t</w:t>
      </w:r>
      <w:r w:rsidR="00F65DDC">
        <w:rPr>
          <w:sz w:val="24"/>
          <w:szCs w:val="24"/>
        </w:rPr>
        <w:t>atsächlich</w:t>
      </w:r>
      <w:r w:rsidR="003759F7">
        <w:rPr>
          <w:sz w:val="24"/>
          <w:szCs w:val="24"/>
        </w:rPr>
        <w:t xml:space="preserve"> jedoch </w:t>
      </w:r>
      <w:r w:rsidR="006B5D08">
        <w:rPr>
          <w:sz w:val="24"/>
          <w:szCs w:val="24"/>
        </w:rPr>
        <w:t>dominier</w:t>
      </w:r>
      <w:r w:rsidR="0086544B">
        <w:rPr>
          <w:sz w:val="24"/>
          <w:szCs w:val="24"/>
        </w:rPr>
        <w:t>en</w:t>
      </w:r>
      <w:r w:rsidR="003759F7">
        <w:rPr>
          <w:sz w:val="24"/>
          <w:szCs w:val="24"/>
        </w:rPr>
        <w:t xml:space="preserve"> </w:t>
      </w:r>
      <w:r w:rsidR="006B5D08">
        <w:rPr>
          <w:sz w:val="24"/>
          <w:szCs w:val="24"/>
        </w:rPr>
        <w:t xml:space="preserve">weiterhin </w:t>
      </w:r>
      <w:r w:rsidR="003759F7">
        <w:rPr>
          <w:sz w:val="24"/>
          <w:szCs w:val="24"/>
        </w:rPr>
        <w:t>Skepsis und Misstrauen</w:t>
      </w:r>
      <w:r w:rsidR="006B5D08">
        <w:rPr>
          <w:sz w:val="24"/>
          <w:szCs w:val="24"/>
        </w:rPr>
        <w:t>.</w:t>
      </w:r>
      <w:r w:rsidR="003759F7">
        <w:rPr>
          <w:sz w:val="24"/>
          <w:szCs w:val="24"/>
        </w:rPr>
        <w:t xml:space="preserve"> </w:t>
      </w:r>
      <w:r w:rsidR="0080745D">
        <w:rPr>
          <w:sz w:val="24"/>
          <w:szCs w:val="24"/>
        </w:rPr>
        <w:t xml:space="preserve">Durch eine Reihe von Ereignissen: </w:t>
      </w:r>
      <w:r w:rsidR="006B5D08">
        <w:rPr>
          <w:sz w:val="24"/>
          <w:szCs w:val="24"/>
        </w:rPr>
        <w:t xml:space="preserve">vor allem durch den </w:t>
      </w:r>
      <w:r w:rsidR="0080745D">
        <w:rPr>
          <w:sz w:val="24"/>
          <w:szCs w:val="24"/>
        </w:rPr>
        <w:t xml:space="preserve">Skandal um </w:t>
      </w:r>
      <w:r w:rsidR="006B5D08">
        <w:rPr>
          <w:sz w:val="24"/>
          <w:szCs w:val="24"/>
        </w:rPr>
        <w:t xml:space="preserve">das </w:t>
      </w:r>
      <w:r w:rsidR="006B5D08">
        <w:rPr>
          <w:i/>
          <w:sz w:val="24"/>
          <w:szCs w:val="24"/>
        </w:rPr>
        <w:t>Pariser Tageblatt</w:t>
      </w:r>
      <w:r w:rsidR="006B5D08">
        <w:rPr>
          <w:sz w:val="24"/>
          <w:szCs w:val="24"/>
        </w:rPr>
        <w:t xml:space="preserve">, </w:t>
      </w:r>
      <w:r w:rsidR="0080745D">
        <w:rPr>
          <w:sz w:val="24"/>
          <w:szCs w:val="24"/>
        </w:rPr>
        <w:t>die einzige Tage</w:t>
      </w:r>
      <w:r w:rsidR="0080745D">
        <w:rPr>
          <w:sz w:val="24"/>
          <w:szCs w:val="24"/>
        </w:rPr>
        <w:t>s</w:t>
      </w:r>
      <w:r w:rsidR="0080745D">
        <w:rPr>
          <w:sz w:val="24"/>
          <w:szCs w:val="24"/>
        </w:rPr>
        <w:t xml:space="preserve">zeitung des Exils, </w:t>
      </w:r>
      <w:r w:rsidR="0086544B">
        <w:rPr>
          <w:sz w:val="24"/>
          <w:szCs w:val="24"/>
        </w:rPr>
        <w:t xml:space="preserve">die </w:t>
      </w:r>
      <w:r w:rsidR="00DA7D8C">
        <w:rPr>
          <w:sz w:val="24"/>
          <w:szCs w:val="24"/>
        </w:rPr>
        <w:t>– so die Beschuldigung – a</w:t>
      </w:r>
      <w:r w:rsidR="0086544B">
        <w:rPr>
          <w:sz w:val="24"/>
          <w:szCs w:val="24"/>
        </w:rPr>
        <w:t>ngeblich vo</w:t>
      </w:r>
      <w:r w:rsidR="00DA7D8C">
        <w:rPr>
          <w:sz w:val="24"/>
          <w:szCs w:val="24"/>
        </w:rPr>
        <w:t>n ihrem</w:t>
      </w:r>
      <w:r w:rsidR="0086544B">
        <w:rPr>
          <w:sz w:val="24"/>
          <w:szCs w:val="24"/>
        </w:rPr>
        <w:t xml:space="preserve"> Verleger an die Nati</w:t>
      </w:r>
      <w:r w:rsidR="0086544B">
        <w:rPr>
          <w:sz w:val="24"/>
          <w:szCs w:val="24"/>
        </w:rPr>
        <w:t>o</w:t>
      </w:r>
      <w:r w:rsidR="0086544B">
        <w:rPr>
          <w:sz w:val="24"/>
          <w:szCs w:val="24"/>
        </w:rPr>
        <w:t xml:space="preserve">nalsozialisten verkauft werden sollte, </w:t>
      </w:r>
      <w:r w:rsidR="0080745D">
        <w:rPr>
          <w:sz w:val="24"/>
          <w:szCs w:val="24"/>
        </w:rPr>
        <w:t xml:space="preserve">sowie durch das Aufflammen erneuter Kritik an der Sowjetunion, ausgelöst vor allem durch die Moskauer Prozesse, wird der Annäherungsprozess nicht </w:t>
      </w:r>
      <w:r w:rsidR="00DC3BB9">
        <w:rPr>
          <w:sz w:val="24"/>
          <w:szCs w:val="24"/>
        </w:rPr>
        <w:t>bloß</w:t>
      </w:r>
      <w:r w:rsidR="0080745D">
        <w:rPr>
          <w:sz w:val="24"/>
          <w:szCs w:val="24"/>
        </w:rPr>
        <w:t xml:space="preserve"> behindert</w:t>
      </w:r>
      <w:r w:rsidR="00E76F13">
        <w:rPr>
          <w:sz w:val="24"/>
          <w:szCs w:val="24"/>
        </w:rPr>
        <w:t>;</w:t>
      </w:r>
      <w:r w:rsidR="0086544B">
        <w:rPr>
          <w:sz w:val="24"/>
          <w:szCs w:val="24"/>
        </w:rPr>
        <w:t xml:space="preserve"> v</w:t>
      </w:r>
      <w:r w:rsidR="006B5D08">
        <w:rPr>
          <w:sz w:val="24"/>
          <w:szCs w:val="24"/>
        </w:rPr>
        <w:t>ielmehr</w:t>
      </w:r>
      <w:r w:rsidR="00DC3BB9">
        <w:rPr>
          <w:sz w:val="24"/>
          <w:szCs w:val="24"/>
        </w:rPr>
        <w:t xml:space="preserve"> verhärten sich </w:t>
      </w:r>
      <w:r w:rsidR="0080745D">
        <w:rPr>
          <w:sz w:val="24"/>
          <w:szCs w:val="24"/>
        </w:rPr>
        <w:t>die Positionen erneut</w:t>
      </w:r>
      <w:r w:rsidR="006B5D08">
        <w:rPr>
          <w:sz w:val="24"/>
          <w:szCs w:val="24"/>
        </w:rPr>
        <w:t>, so dass</w:t>
      </w:r>
      <w:r w:rsidR="0080745D">
        <w:rPr>
          <w:sz w:val="24"/>
          <w:szCs w:val="24"/>
        </w:rPr>
        <w:t xml:space="preserve"> </w:t>
      </w:r>
      <w:r w:rsidR="006B5D08">
        <w:rPr>
          <w:sz w:val="24"/>
          <w:szCs w:val="24"/>
        </w:rPr>
        <w:t>die Entwicklung</w:t>
      </w:r>
      <w:r w:rsidR="0080745D">
        <w:rPr>
          <w:sz w:val="24"/>
          <w:szCs w:val="24"/>
        </w:rPr>
        <w:t xml:space="preserve"> zu</w:t>
      </w:r>
      <w:r w:rsidR="0086544B">
        <w:rPr>
          <w:sz w:val="24"/>
          <w:szCs w:val="24"/>
        </w:rPr>
        <w:t xml:space="preserve"> ihrem</w:t>
      </w:r>
      <w:r w:rsidR="0080745D">
        <w:rPr>
          <w:sz w:val="24"/>
          <w:szCs w:val="24"/>
        </w:rPr>
        <w:t xml:space="preserve"> Ausgangspunkt</w:t>
      </w:r>
      <w:r w:rsidR="006B5D08" w:rsidRPr="006B5D08">
        <w:rPr>
          <w:sz w:val="24"/>
          <w:szCs w:val="24"/>
        </w:rPr>
        <w:t xml:space="preserve"> </w:t>
      </w:r>
      <w:r w:rsidR="006B5D08">
        <w:rPr>
          <w:sz w:val="24"/>
          <w:szCs w:val="24"/>
        </w:rPr>
        <w:t>zurückkehrt</w:t>
      </w:r>
      <w:r w:rsidR="0080745D">
        <w:rPr>
          <w:sz w:val="24"/>
          <w:szCs w:val="24"/>
        </w:rPr>
        <w:t>: zu</w:t>
      </w:r>
      <w:r w:rsidR="00DA7D8C">
        <w:rPr>
          <w:sz w:val="24"/>
          <w:szCs w:val="24"/>
        </w:rPr>
        <w:t>r</w:t>
      </w:r>
      <w:r w:rsidR="0080745D">
        <w:rPr>
          <w:sz w:val="24"/>
          <w:szCs w:val="24"/>
        </w:rPr>
        <w:t xml:space="preserve"> Konfrontation, </w:t>
      </w:r>
      <w:r w:rsidR="00DA7D8C">
        <w:rPr>
          <w:sz w:val="24"/>
          <w:szCs w:val="24"/>
        </w:rPr>
        <w:t xml:space="preserve">zu </w:t>
      </w:r>
      <w:r w:rsidR="0080745D">
        <w:rPr>
          <w:sz w:val="24"/>
          <w:szCs w:val="24"/>
        </w:rPr>
        <w:t>wechselseitige</w:t>
      </w:r>
      <w:r w:rsidR="00DA7D8C">
        <w:rPr>
          <w:sz w:val="24"/>
          <w:szCs w:val="24"/>
        </w:rPr>
        <w:t>n</w:t>
      </w:r>
      <w:r w:rsidR="0080745D">
        <w:rPr>
          <w:sz w:val="24"/>
          <w:szCs w:val="24"/>
        </w:rPr>
        <w:t xml:space="preserve"> Schuldzuwe</w:t>
      </w:r>
      <w:r w:rsidR="0080745D">
        <w:rPr>
          <w:sz w:val="24"/>
          <w:szCs w:val="24"/>
        </w:rPr>
        <w:t>i</w:t>
      </w:r>
      <w:r w:rsidR="0080745D">
        <w:rPr>
          <w:sz w:val="24"/>
          <w:szCs w:val="24"/>
        </w:rPr>
        <w:t>sung</w:t>
      </w:r>
      <w:r w:rsidR="00DA7D8C">
        <w:rPr>
          <w:sz w:val="24"/>
          <w:szCs w:val="24"/>
        </w:rPr>
        <w:t>en</w:t>
      </w:r>
      <w:r w:rsidR="0080745D">
        <w:rPr>
          <w:sz w:val="24"/>
          <w:szCs w:val="24"/>
        </w:rPr>
        <w:t xml:space="preserve"> und strikter Abgrenzung.</w:t>
      </w:r>
    </w:p>
    <w:p w:rsidR="00DC3BB9" w:rsidRDefault="00DC3BB9" w:rsidP="00E41506">
      <w:pPr>
        <w:spacing w:after="0"/>
        <w:ind w:firstLine="708"/>
        <w:jc w:val="both"/>
        <w:rPr>
          <w:sz w:val="24"/>
          <w:szCs w:val="24"/>
        </w:rPr>
      </w:pPr>
    </w:p>
    <w:p w:rsidR="00BC4E86" w:rsidRDefault="00D507E5" w:rsidP="00E41506">
      <w:pPr>
        <w:spacing w:after="0"/>
        <w:ind w:firstLine="708"/>
        <w:jc w:val="both"/>
        <w:rPr>
          <w:sz w:val="24"/>
          <w:szCs w:val="24"/>
        </w:rPr>
      </w:pPr>
      <w:r>
        <w:rPr>
          <w:sz w:val="24"/>
          <w:szCs w:val="24"/>
        </w:rPr>
        <w:t xml:space="preserve">Am </w:t>
      </w:r>
      <w:r w:rsidR="0086544B">
        <w:rPr>
          <w:sz w:val="24"/>
          <w:szCs w:val="24"/>
        </w:rPr>
        <w:t>Anfang der „Volksfront“-Phase steht der sog. „</w:t>
      </w:r>
      <w:proofErr w:type="spellStart"/>
      <w:r w:rsidR="0086544B">
        <w:rPr>
          <w:sz w:val="24"/>
          <w:szCs w:val="24"/>
        </w:rPr>
        <w:t>Montreuil</w:t>
      </w:r>
      <w:proofErr w:type="spellEnd"/>
      <w:r w:rsidR="0086544B">
        <w:rPr>
          <w:sz w:val="24"/>
          <w:szCs w:val="24"/>
        </w:rPr>
        <w:t>-Aufruf</w:t>
      </w:r>
      <w:r w:rsidR="00284557">
        <w:rPr>
          <w:sz w:val="24"/>
          <w:szCs w:val="24"/>
        </w:rPr>
        <w:t>“</w:t>
      </w:r>
      <w:r w:rsidR="0086544B">
        <w:rPr>
          <w:sz w:val="24"/>
          <w:szCs w:val="24"/>
        </w:rPr>
        <w:t xml:space="preserve">. Am </w:t>
      </w:r>
      <w:r>
        <w:rPr>
          <w:sz w:val="24"/>
          <w:szCs w:val="24"/>
        </w:rPr>
        <w:t xml:space="preserve">23. Juni 1935, </w:t>
      </w:r>
      <w:r w:rsidR="0086544B">
        <w:rPr>
          <w:sz w:val="24"/>
          <w:szCs w:val="24"/>
        </w:rPr>
        <w:t xml:space="preserve">also </w:t>
      </w:r>
      <w:r>
        <w:rPr>
          <w:sz w:val="24"/>
          <w:szCs w:val="24"/>
        </w:rPr>
        <w:t xml:space="preserve">am dritten Tag des </w:t>
      </w:r>
      <w:r w:rsidR="00DC3BB9">
        <w:rPr>
          <w:sz w:val="24"/>
          <w:szCs w:val="24"/>
        </w:rPr>
        <w:t xml:space="preserve">Pariser </w:t>
      </w:r>
      <w:r w:rsidR="00941B48">
        <w:rPr>
          <w:sz w:val="24"/>
          <w:szCs w:val="24"/>
        </w:rPr>
        <w:t xml:space="preserve">Schriftstellerkongresses, </w:t>
      </w:r>
      <w:r w:rsidR="0086544B">
        <w:rPr>
          <w:sz w:val="24"/>
          <w:szCs w:val="24"/>
        </w:rPr>
        <w:t>beschließt eine Versammlung von schätzungsweise 60 000 Personen, die sich im Rahmen der 7. Solidaritätstagung der I</w:t>
      </w:r>
      <w:r w:rsidR="0086544B">
        <w:rPr>
          <w:sz w:val="24"/>
          <w:szCs w:val="24"/>
        </w:rPr>
        <w:t>n</w:t>
      </w:r>
      <w:r w:rsidR="0086544B">
        <w:rPr>
          <w:sz w:val="24"/>
          <w:szCs w:val="24"/>
        </w:rPr>
        <w:t xml:space="preserve">ternationalen Arbeiterhilfe </w:t>
      </w:r>
      <w:r w:rsidR="00941B48">
        <w:rPr>
          <w:sz w:val="24"/>
          <w:szCs w:val="24"/>
        </w:rPr>
        <w:t>i</w:t>
      </w:r>
      <w:r w:rsidR="00DC3BB9">
        <w:rPr>
          <w:sz w:val="24"/>
          <w:szCs w:val="24"/>
        </w:rPr>
        <w:t>n</w:t>
      </w:r>
      <w:r w:rsidR="00076C76">
        <w:rPr>
          <w:sz w:val="24"/>
          <w:szCs w:val="24"/>
        </w:rPr>
        <w:t xml:space="preserve"> </w:t>
      </w:r>
      <w:proofErr w:type="spellStart"/>
      <w:r w:rsidR="00DC3BB9">
        <w:rPr>
          <w:sz w:val="24"/>
          <w:szCs w:val="24"/>
        </w:rPr>
        <w:t>Montreuil</w:t>
      </w:r>
      <w:proofErr w:type="spellEnd"/>
      <w:r w:rsidR="00DC3BB9">
        <w:rPr>
          <w:sz w:val="24"/>
          <w:szCs w:val="24"/>
        </w:rPr>
        <w:t xml:space="preserve">, einem </w:t>
      </w:r>
      <w:r w:rsidR="0086544B">
        <w:rPr>
          <w:sz w:val="24"/>
          <w:szCs w:val="24"/>
        </w:rPr>
        <w:t xml:space="preserve">Pariser </w:t>
      </w:r>
      <w:r w:rsidR="00DC3BB9">
        <w:rPr>
          <w:sz w:val="24"/>
          <w:szCs w:val="24"/>
        </w:rPr>
        <w:t>Vorort</w:t>
      </w:r>
      <w:r w:rsidR="0086544B">
        <w:rPr>
          <w:sz w:val="24"/>
          <w:szCs w:val="24"/>
        </w:rPr>
        <w:t>, versammelt haben</w:t>
      </w:r>
      <w:r w:rsidR="001D79D0">
        <w:rPr>
          <w:sz w:val="24"/>
          <w:szCs w:val="24"/>
        </w:rPr>
        <w:t>, einen Au</w:t>
      </w:r>
      <w:r w:rsidR="001D79D0">
        <w:rPr>
          <w:sz w:val="24"/>
          <w:szCs w:val="24"/>
        </w:rPr>
        <w:t>f</w:t>
      </w:r>
      <w:r w:rsidR="001D79D0">
        <w:rPr>
          <w:sz w:val="24"/>
          <w:szCs w:val="24"/>
        </w:rPr>
        <w:t>ruf an</w:t>
      </w:r>
      <w:r w:rsidR="00941B48">
        <w:rPr>
          <w:sz w:val="24"/>
          <w:szCs w:val="24"/>
        </w:rPr>
        <w:t xml:space="preserve"> </w:t>
      </w:r>
      <w:r w:rsidR="001D79D0">
        <w:rPr>
          <w:sz w:val="24"/>
          <w:szCs w:val="24"/>
        </w:rPr>
        <w:t>die Vertreter aller antifaschistischen Parteien und Organisationen Deutschlands, „</w:t>
      </w:r>
      <w:r w:rsidR="001D79D0" w:rsidRPr="003710C2">
        <w:rPr>
          <w:i/>
          <w:sz w:val="24"/>
          <w:szCs w:val="24"/>
        </w:rPr>
        <w:t>sich endlich zu einigen</w:t>
      </w:r>
      <w:r w:rsidR="001D79D0">
        <w:rPr>
          <w:i/>
          <w:sz w:val="24"/>
          <w:szCs w:val="24"/>
        </w:rPr>
        <w:t>.</w:t>
      </w:r>
      <w:r w:rsidR="001D79D0">
        <w:rPr>
          <w:sz w:val="24"/>
          <w:szCs w:val="24"/>
        </w:rPr>
        <w:t>“</w:t>
      </w:r>
      <w:r w:rsidR="001D79D0">
        <w:rPr>
          <w:rStyle w:val="Funotenzeichen"/>
          <w:sz w:val="24"/>
          <w:szCs w:val="24"/>
        </w:rPr>
        <w:footnoteReference w:id="2"/>
      </w:r>
      <w:r w:rsidR="001D79D0">
        <w:rPr>
          <w:sz w:val="24"/>
          <w:szCs w:val="24"/>
        </w:rPr>
        <w:t xml:space="preserve"> Auf der Tagung </w:t>
      </w:r>
      <w:r w:rsidR="003710C2">
        <w:rPr>
          <w:sz w:val="24"/>
          <w:szCs w:val="24"/>
        </w:rPr>
        <w:t>sind</w:t>
      </w:r>
      <w:r w:rsidR="00941B48">
        <w:rPr>
          <w:sz w:val="24"/>
          <w:szCs w:val="24"/>
        </w:rPr>
        <w:t xml:space="preserve"> 30 Organisationen</w:t>
      </w:r>
      <w:r w:rsidR="001D79D0" w:rsidRPr="001D79D0">
        <w:rPr>
          <w:sz w:val="24"/>
          <w:szCs w:val="24"/>
        </w:rPr>
        <w:t xml:space="preserve"> </w:t>
      </w:r>
      <w:r w:rsidR="001D79D0">
        <w:rPr>
          <w:sz w:val="24"/>
          <w:szCs w:val="24"/>
        </w:rPr>
        <w:t>vertreten:</w:t>
      </w:r>
      <w:r w:rsidR="00941B48">
        <w:rPr>
          <w:sz w:val="24"/>
          <w:szCs w:val="24"/>
        </w:rPr>
        <w:t xml:space="preserve"> </w:t>
      </w:r>
      <w:r w:rsidR="001D79D0">
        <w:rPr>
          <w:sz w:val="24"/>
          <w:szCs w:val="24"/>
        </w:rPr>
        <w:t xml:space="preserve">mit der PCF, der SFIO, den Radikalsozialisten, den Gewerkschaften, den linken Frontkämpferorganisationen und der </w:t>
      </w:r>
      <w:proofErr w:type="spellStart"/>
      <w:r w:rsidR="001D79D0">
        <w:rPr>
          <w:sz w:val="24"/>
          <w:szCs w:val="24"/>
        </w:rPr>
        <w:t>Ligue</w:t>
      </w:r>
      <w:proofErr w:type="spellEnd"/>
      <w:r w:rsidR="001D79D0">
        <w:rPr>
          <w:sz w:val="24"/>
          <w:szCs w:val="24"/>
        </w:rPr>
        <w:t xml:space="preserve"> </w:t>
      </w:r>
      <w:proofErr w:type="spellStart"/>
      <w:r w:rsidR="001D79D0">
        <w:rPr>
          <w:sz w:val="24"/>
          <w:szCs w:val="24"/>
        </w:rPr>
        <w:t>pour</w:t>
      </w:r>
      <w:proofErr w:type="spellEnd"/>
      <w:r w:rsidR="001D79D0">
        <w:rPr>
          <w:sz w:val="24"/>
          <w:szCs w:val="24"/>
        </w:rPr>
        <w:t xml:space="preserve"> les </w:t>
      </w:r>
      <w:proofErr w:type="spellStart"/>
      <w:r w:rsidR="001D79D0">
        <w:rPr>
          <w:sz w:val="24"/>
          <w:szCs w:val="24"/>
        </w:rPr>
        <w:t>droits</w:t>
      </w:r>
      <w:proofErr w:type="spellEnd"/>
      <w:r w:rsidR="001D79D0">
        <w:rPr>
          <w:sz w:val="24"/>
          <w:szCs w:val="24"/>
        </w:rPr>
        <w:t xml:space="preserve"> de </w:t>
      </w:r>
      <w:proofErr w:type="spellStart"/>
      <w:r w:rsidR="001D79D0">
        <w:rPr>
          <w:sz w:val="24"/>
          <w:szCs w:val="24"/>
        </w:rPr>
        <w:t>l’homme</w:t>
      </w:r>
      <w:proofErr w:type="spellEnd"/>
      <w:r w:rsidR="001D79D0">
        <w:rPr>
          <w:sz w:val="24"/>
          <w:szCs w:val="24"/>
        </w:rPr>
        <w:t xml:space="preserve"> et de </w:t>
      </w:r>
      <w:proofErr w:type="spellStart"/>
      <w:r w:rsidR="001D79D0">
        <w:rPr>
          <w:sz w:val="24"/>
          <w:szCs w:val="24"/>
        </w:rPr>
        <w:t>citoyen</w:t>
      </w:r>
      <w:proofErr w:type="spellEnd"/>
      <w:r w:rsidR="001D79D0">
        <w:rPr>
          <w:sz w:val="24"/>
          <w:szCs w:val="24"/>
        </w:rPr>
        <w:t xml:space="preserve"> ein Spektrum französischer Parteien und Organisationen, das dem des deutschen Exils in vieler Hinsicht ähnelt. </w:t>
      </w:r>
    </w:p>
    <w:p w:rsidR="00DA0196" w:rsidRDefault="00CC49C7" w:rsidP="00E41506">
      <w:pPr>
        <w:spacing w:after="0"/>
        <w:ind w:firstLine="708"/>
        <w:jc w:val="both"/>
        <w:rPr>
          <w:sz w:val="24"/>
          <w:szCs w:val="24"/>
        </w:rPr>
      </w:pPr>
      <w:r>
        <w:rPr>
          <w:sz w:val="24"/>
          <w:szCs w:val="24"/>
        </w:rPr>
        <w:t>Der A</w:t>
      </w:r>
      <w:r w:rsidR="004F1819">
        <w:rPr>
          <w:sz w:val="24"/>
          <w:szCs w:val="24"/>
        </w:rPr>
        <w:t>ppell</w:t>
      </w:r>
      <w:r>
        <w:rPr>
          <w:sz w:val="24"/>
          <w:szCs w:val="24"/>
        </w:rPr>
        <w:t xml:space="preserve"> </w:t>
      </w:r>
      <w:r w:rsidR="001D79D0">
        <w:rPr>
          <w:sz w:val="24"/>
          <w:szCs w:val="24"/>
        </w:rPr>
        <w:t>stöß</w:t>
      </w:r>
      <w:r w:rsidR="003710C2">
        <w:rPr>
          <w:sz w:val="24"/>
          <w:szCs w:val="24"/>
        </w:rPr>
        <w:t xml:space="preserve">t </w:t>
      </w:r>
      <w:r w:rsidR="001D79D0">
        <w:rPr>
          <w:sz w:val="24"/>
          <w:szCs w:val="24"/>
        </w:rPr>
        <w:t xml:space="preserve">bei Heinrich Mann sowie anderen Intellektuellen auf </w:t>
      </w:r>
      <w:r w:rsidR="003710C2">
        <w:rPr>
          <w:sz w:val="24"/>
          <w:szCs w:val="24"/>
        </w:rPr>
        <w:t>positive Res</w:t>
      </w:r>
      <w:r w:rsidR="003710C2">
        <w:rPr>
          <w:sz w:val="24"/>
          <w:szCs w:val="24"/>
        </w:rPr>
        <w:t>o</w:t>
      </w:r>
      <w:r w:rsidR="003710C2">
        <w:rPr>
          <w:sz w:val="24"/>
          <w:szCs w:val="24"/>
        </w:rPr>
        <w:t>nanz</w:t>
      </w:r>
      <w:r w:rsidR="00076C76">
        <w:rPr>
          <w:sz w:val="24"/>
          <w:szCs w:val="24"/>
        </w:rPr>
        <w:t>.</w:t>
      </w:r>
      <w:r>
        <w:rPr>
          <w:sz w:val="24"/>
          <w:szCs w:val="24"/>
        </w:rPr>
        <w:t xml:space="preserve"> </w:t>
      </w:r>
      <w:r w:rsidR="0060570F">
        <w:rPr>
          <w:sz w:val="24"/>
          <w:szCs w:val="24"/>
        </w:rPr>
        <w:t xml:space="preserve">Am 26. Juni 1935 veröffentlicht </w:t>
      </w:r>
      <w:r>
        <w:rPr>
          <w:sz w:val="24"/>
          <w:szCs w:val="24"/>
        </w:rPr>
        <w:t>Konrad Heiden</w:t>
      </w:r>
      <w:r w:rsidR="003710C2">
        <w:rPr>
          <w:rStyle w:val="Funotenzeichen"/>
          <w:sz w:val="24"/>
          <w:szCs w:val="24"/>
        </w:rPr>
        <w:footnoteReference w:id="3"/>
      </w:r>
      <w:r w:rsidR="003710C2">
        <w:rPr>
          <w:sz w:val="24"/>
          <w:szCs w:val="24"/>
        </w:rPr>
        <w:t xml:space="preserve"> </w:t>
      </w:r>
      <w:r w:rsidR="0060570F">
        <w:rPr>
          <w:sz w:val="24"/>
          <w:szCs w:val="24"/>
        </w:rPr>
        <w:t xml:space="preserve">unter der Überschrift „Heraus aus der Zersplitterung“ </w:t>
      </w:r>
      <w:r w:rsidR="001D79D0">
        <w:rPr>
          <w:sz w:val="24"/>
          <w:szCs w:val="24"/>
        </w:rPr>
        <w:t xml:space="preserve">im </w:t>
      </w:r>
      <w:r w:rsidR="001D79D0">
        <w:rPr>
          <w:i/>
          <w:sz w:val="24"/>
          <w:szCs w:val="24"/>
        </w:rPr>
        <w:t>Pariser Tageblatt</w:t>
      </w:r>
      <w:r w:rsidR="001D79D0">
        <w:rPr>
          <w:sz w:val="24"/>
          <w:szCs w:val="24"/>
        </w:rPr>
        <w:t xml:space="preserve"> </w:t>
      </w:r>
      <w:r w:rsidR="004F1819">
        <w:rPr>
          <w:sz w:val="24"/>
          <w:szCs w:val="24"/>
        </w:rPr>
        <w:t xml:space="preserve">einen </w:t>
      </w:r>
      <w:r w:rsidR="00E914FB">
        <w:rPr>
          <w:sz w:val="24"/>
          <w:szCs w:val="24"/>
        </w:rPr>
        <w:t xml:space="preserve">den </w:t>
      </w:r>
      <w:proofErr w:type="spellStart"/>
      <w:r w:rsidR="00E914FB">
        <w:rPr>
          <w:sz w:val="24"/>
          <w:szCs w:val="24"/>
        </w:rPr>
        <w:t>Mont</w:t>
      </w:r>
      <w:r w:rsidR="0060570F">
        <w:rPr>
          <w:sz w:val="24"/>
          <w:szCs w:val="24"/>
        </w:rPr>
        <w:t>r</w:t>
      </w:r>
      <w:r w:rsidR="00E914FB">
        <w:rPr>
          <w:sz w:val="24"/>
          <w:szCs w:val="24"/>
        </w:rPr>
        <w:t>euil</w:t>
      </w:r>
      <w:proofErr w:type="spellEnd"/>
      <w:r w:rsidR="00E914FB">
        <w:rPr>
          <w:sz w:val="24"/>
          <w:szCs w:val="24"/>
        </w:rPr>
        <w:t>-</w:t>
      </w:r>
      <w:r w:rsidR="004F1819">
        <w:rPr>
          <w:sz w:val="24"/>
          <w:szCs w:val="24"/>
        </w:rPr>
        <w:t>A</w:t>
      </w:r>
      <w:r w:rsidR="00E914FB">
        <w:rPr>
          <w:sz w:val="24"/>
          <w:szCs w:val="24"/>
        </w:rPr>
        <w:t xml:space="preserve">ppell unterstützenden </w:t>
      </w:r>
      <w:r w:rsidR="009D733D">
        <w:rPr>
          <w:sz w:val="24"/>
          <w:szCs w:val="24"/>
        </w:rPr>
        <w:t>Leita</w:t>
      </w:r>
      <w:r w:rsidR="00E914FB">
        <w:rPr>
          <w:sz w:val="24"/>
          <w:szCs w:val="24"/>
        </w:rPr>
        <w:t xml:space="preserve">rtikel. Ende Juni wendet sich August Stern, ehemals Chefredakteur der saarländischen Zeitung </w:t>
      </w:r>
      <w:r w:rsidR="00E914FB">
        <w:rPr>
          <w:i/>
          <w:sz w:val="24"/>
          <w:szCs w:val="24"/>
        </w:rPr>
        <w:t>Wes</w:t>
      </w:r>
      <w:r w:rsidR="00E914FB">
        <w:rPr>
          <w:i/>
          <w:sz w:val="24"/>
          <w:szCs w:val="24"/>
        </w:rPr>
        <w:t>t</w:t>
      </w:r>
      <w:r w:rsidR="00E914FB">
        <w:rPr>
          <w:i/>
          <w:sz w:val="24"/>
          <w:szCs w:val="24"/>
        </w:rPr>
        <w:t>land</w:t>
      </w:r>
      <w:r w:rsidR="00E914FB">
        <w:rPr>
          <w:sz w:val="24"/>
          <w:szCs w:val="24"/>
        </w:rPr>
        <w:t>, zusammen mit Wilhelm Koenen von der KPD „an eine Reihe von Leuten […], um die Konstituierung eines Vorbereitenden Ausschusses zur Schaffung der Volksfront zu bespr</w:t>
      </w:r>
      <w:r w:rsidR="00E914FB">
        <w:rPr>
          <w:sz w:val="24"/>
          <w:szCs w:val="24"/>
        </w:rPr>
        <w:t>e</w:t>
      </w:r>
      <w:r w:rsidR="00E914FB">
        <w:rPr>
          <w:sz w:val="24"/>
          <w:szCs w:val="24"/>
        </w:rPr>
        <w:t>chen“.</w:t>
      </w:r>
      <w:r w:rsidR="00E914FB">
        <w:rPr>
          <w:rStyle w:val="Funotenzeichen"/>
          <w:sz w:val="24"/>
          <w:szCs w:val="24"/>
        </w:rPr>
        <w:footnoteReference w:id="4"/>
      </w:r>
      <w:r w:rsidR="00E914FB">
        <w:rPr>
          <w:sz w:val="24"/>
          <w:szCs w:val="24"/>
        </w:rPr>
        <w:t xml:space="preserve"> Im Juli 1935 bildet sich als </w:t>
      </w:r>
      <w:r w:rsidR="001D79D0">
        <w:rPr>
          <w:sz w:val="24"/>
          <w:szCs w:val="24"/>
        </w:rPr>
        <w:t xml:space="preserve">ein </w:t>
      </w:r>
      <w:r w:rsidR="00E914FB">
        <w:rPr>
          <w:sz w:val="24"/>
          <w:szCs w:val="24"/>
        </w:rPr>
        <w:t xml:space="preserve">loser Kreis ohne organisatorische Fixierung </w:t>
      </w:r>
      <w:r w:rsidR="00DA0196">
        <w:rPr>
          <w:sz w:val="24"/>
          <w:szCs w:val="24"/>
        </w:rPr>
        <w:t xml:space="preserve">daraus </w:t>
      </w:r>
      <w:r w:rsidR="00BC4E86">
        <w:rPr>
          <w:sz w:val="24"/>
          <w:szCs w:val="24"/>
        </w:rPr>
        <w:t>der</w:t>
      </w:r>
      <w:r w:rsidR="00E914FB">
        <w:rPr>
          <w:sz w:val="24"/>
          <w:szCs w:val="24"/>
        </w:rPr>
        <w:t xml:space="preserve"> (Vorläufige) Ausschuss zur Vorbereitung einer deutschen Volksfront.</w:t>
      </w:r>
      <w:r w:rsidR="00E914FB">
        <w:rPr>
          <w:rStyle w:val="Funotenzeichen"/>
          <w:sz w:val="24"/>
          <w:szCs w:val="24"/>
        </w:rPr>
        <w:footnoteReference w:id="5"/>
      </w:r>
      <w:r w:rsidR="00BC4FA1">
        <w:rPr>
          <w:sz w:val="24"/>
          <w:szCs w:val="24"/>
        </w:rPr>
        <w:t xml:space="preserve"> </w:t>
      </w:r>
      <w:r w:rsidR="00BC4E86">
        <w:rPr>
          <w:sz w:val="24"/>
          <w:szCs w:val="24"/>
        </w:rPr>
        <w:t xml:space="preserve">In </w:t>
      </w:r>
      <w:r w:rsidR="00DA0196">
        <w:rPr>
          <w:sz w:val="24"/>
          <w:szCs w:val="24"/>
        </w:rPr>
        <w:t>einer parallelen A</w:t>
      </w:r>
      <w:r w:rsidR="00DA0196">
        <w:rPr>
          <w:sz w:val="24"/>
          <w:szCs w:val="24"/>
        </w:rPr>
        <w:t>k</w:t>
      </w:r>
      <w:r w:rsidR="00DA0196">
        <w:rPr>
          <w:sz w:val="24"/>
          <w:szCs w:val="24"/>
        </w:rPr>
        <w:t xml:space="preserve">tion </w:t>
      </w:r>
      <w:r w:rsidR="00BC4FA1">
        <w:rPr>
          <w:sz w:val="24"/>
          <w:szCs w:val="24"/>
        </w:rPr>
        <w:t xml:space="preserve">bemüht sich Willi Münzenberg um </w:t>
      </w:r>
      <w:r w:rsidR="009D733D">
        <w:rPr>
          <w:sz w:val="24"/>
          <w:szCs w:val="24"/>
        </w:rPr>
        <w:t xml:space="preserve">Unterstützung </w:t>
      </w:r>
      <w:r w:rsidR="00F65DDC">
        <w:rPr>
          <w:sz w:val="24"/>
          <w:szCs w:val="24"/>
        </w:rPr>
        <w:t>durch die</w:t>
      </w:r>
      <w:r w:rsidR="0060570F">
        <w:rPr>
          <w:sz w:val="24"/>
          <w:szCs w:val="24"/>
        </w:rPr>
        <w:t xml:space="preserve"> </w:t>
      </w:r>
      <w:r w:rsidR="00F65DDC">
        <w:rPr>
          <w:sz w:val="24"/>
          <w:szCs w:val="24"/>
        </w:rPr>
        <w:t xml:space="preserve">Gruppe der </w:t>
      </w:r>
      <w:r w:rsidR="0060570F">
        <w:rPr>
          <w:sz w:val="24"/>
          <w:szCs w:val="24"/>
        </w:rPr>
        <w:t>Schriftsteller und der Publizisten</w:t>
      </w:r>
      <w:r w:rsidR="00BC4FA1">
        <w:rPr>
          <w:sz w:val="24"/>
          <w:szCs w:val="24"/>
        </w:rPr>
        <w:t xml:space="preserve">. Mit </w:t>
      </w:r>
      <w:r w:rsidR="0060570F">
        <w:rPr>
          <w:sz w:val="24"/>
          <w:szCs w:val="24"/>
        </w:rPr>
        <w:t xml:space="preserve">Zustimmung </w:t>
      </w:r>
      <w:r w:rsidR="00BC4FA1">
        <w:rPr>
          <w:sz w:val="24"/>
          <w:szCs w:val="24"/>
        </w:rPr>
        <w:t>beide</w:t>
      </w:r>
      <w:r w:rsidR="00DA7D8C">
        <w:rPr>
          <w:sz w:val="24"/>
          <w:szCs w:val="24"/>
        </w:rPr>
        <w:t>r</w:t>
      </w:r>
      <w:r w:rsidR="00BC4FA1">
        <w:rPr>
          <w:sz w:val="24"/>
          <w:szCs w:val="24"/>
        </w:rPr>
        <w:t xml:space="preserve"> Gruppen l</w:t>
      </w:r>
      <w:r w:rsidR="0016477A">
        <w:rPr>
          <w:sz w:val="24"/>
          <w:szCs w:val="24"/>
        </w:rPr>
        <w:t>ä</w:t>
      </w:r>
      <w:r w:rsidR="00BC4FA1">
        <w:rPr>
          <w:sz w:val="24"/>
          <w:szCs w:val="24"/>
        </w:rPr>
        <w:t>d</w:t>
      </w:r>
      <w:r w:rsidR="0016477A">
        <w:rPr>
          <w:sz w:val="24"/>
          <w:szCs w:val="24"/>
        </w:rPr>
        <w:t>t</w:t>
      </w:r>
      <w:r w:rsidR="00BC4FA1">
        <w:rPr>
          <w:sz w:val="24"/>
          <w:szCs w:val="24"/>
        </w:rPr>
        <w:t xml:space="preserve"> er </w:t>
      </w:r>
      <w:r w:rsidR="00DA0196">
        <w:rPr>
          <w:sz w:val="24"/>
          <w:szCs w:val="24"/>
        </w:rPr>
        <w:t xml:space="preserve">Mitte September </w:t>
      </w:r>
      <w:r w:rsidR="00BC4FA1">
        <w:rPr>
          <w:sz w:val="24"/>
          <w:szCs w:val="24"/>
        </w:rPr>
        <w:t>ungefähr 60 Pers</w:t>
      </w:r>
      <w:r w:rsidR="00BC4FA1">
        <w:rPr>
          <w:sz w:val="24"/>
          <w:szCs w:val="24"/>
        </w:rPr>
        <w:t>o</w:t>
      </w:r>
      <w:r w:rsidR="00BC4FA1">
        <w:rPr>
          <w:sz w:val="24"/>
          <w:szCs w:val="24"/>
        </w:rPr>
        <w:t xml:space="preserve">nen zu einem Treffen ins Hotel </w:t>
      </w:r>
      <w:proofErr w:type="spellStart"/>
      <w:r w:rsidR="00BC4FA1">
        <w:rPr>
          <w:sz w:val="24"/>
          <w:szCs w:val="24"/>
        </w:rPr>
        <w:t>Lutetia</w:t>
      </w:r>
      <w:proofErr w:type="spellEnd"/>
      <w:r w:rsidR="00BC4FA1">
        <w:rPr>
          <w:sz w:val="24"/>
          <w:szCs w:val="24"/>
        </w:rPr>
        <w:t xml:space="preserve"> in Paris </w:t>
      </w:r>
      <w:r w:rsidR="00BC4E86">
        <w:rPr>
          <w:sz w:val="24"/>
          <w:szCs w:val="24"/>
        </w:rPr>
        <w:t xml:space="preserve">am 26. September </w:t>
      </w:r>
      <w:r w:rsidR="00BC4FA1">
        <w:rPr>
          <w:sz w:val="24"/>
          <w:szCs w:val="24"/>
        </w:rPr>
        <w:t>ein.</w:t>
      </w:r>
      <w:r w:rsidR="00BC4FA1">
        <w:rPr>
          <w:rStyle w:val="Funotenzeichen"/>
          <w:sz w:val="24"/>
          <w:szCs w:val="24"/>
        </w:rPr>
        <w:footnoteReference w:id="6"/>
      </w:r>
      <w:r w:rsidR="00BC4FA1">
        <w:rPr>
          <w:sz w:val="24"/>
          <w:szCs w:val="24"/>
        </w:rPr>
        <w:t xml:space="preserve"> </w:t>
      </w:r>
    </w:p>
    <w:p w:rsidR="00D507E5" w:rsidRDefault="00BC4E86" w:rsidP="00E41506">
      <w:pPr>
        <w:spacing w:after="0"/>
        <w:ind w:firstLine="708"/>
        <w:jc w:val="both"/>
        <w:rPr>
          <w:sz w:val="24"/>
          <w:szCs w:val="24"/>
        </w:rPr>
      </w:pPr>
      <w:r>
        <w:rPr>
          <w:sz w:val="24"/>
          <w:szCs w:val="24"/>
        </w:rPr>
        <w:t>Der</w:t>
      </w:r>
      <w:r w:rsidR="00752554">
        <w:rPr>
          <w:sz w:val="24"/>
          <w:szCs w:val="24"/>
        </w:rPr>
        <w:t xml:space="preserve"> </w:t>
      </w:r>
      <w:r w:rsidR="00F65DDC">
        <w:rPr>
          <w:sz w:val="24"/>
          <w:szCs w:val="24"/>
        </w:rPr>
        <w:t>Ort, an dem das Treffen stattfindet,</w:t>
      </w:r>
      <w:r>
        <w:rPr>
          <w:sz w:val="24"/>
          <w:szCs w:val="24"/>
        </w:rPr>
        <w:t xml:space="preserve"> erinnert </w:t>
      </w:r>
      <w:r w:rsidR="00752554">
        <w:rPr>
          <w:sz w:val="24"/>
          <w:szCs w:val="24"/>
        </w:rPr>
        <w:t xml:space="preserve">an </w:t>
      </w:r>
      <w:r w:rsidR="00862700">
        <w:rPr>
          <w:sz w:val="24"/>
          <w:szCs w:val="24"/>
        </w:rPr>
        <w:t xml:space="preserve">klassische </w:t>
      </w:r>
      <w:r w:rsidR="00752554">
        <w:rPr>
          <w:sz w:val="24"/>
          <w:szCs w:val="24"/>
        </w:rPr>
        <w:t>Traditionen: an Heinrich Heine und die deutsche Emigration des 19. Jahrhundert</w:t>
      </w:r>
      <w:r w:rsidR="00284557">
        <w:rPr>
          <w:sz w:val="24"/>
          <w:szCs w:val="24"/>
        </w:rPr>
        <w:t>s</w:t>
      </w:r>
      <w:r>
        <w:rPr>
          <w:sz w:val="24"/>
          <w:szCs w:val="24"/>
        </w:rPr>
        <w:t>.</w:t>
      </w:r>
      <w:r w:rsidR="00752554">
        <w:rPr>
          <w:sz w:val="24"/>
          <w:szCs w:val="24"/>
        </w:rPr>
        <w:t xml:space="preserve"> De</w:t>
      </w:r>
      <w:r w:rsidR="00DA0196">
        <w:rPr>
          <w:sz w:val="24"/>
          <w:szCs w:val="24"/>
        </w:rPr>
        <w:t>n</w:t>
      </w:r>
      <w:r w:rsidR="00752554">
        <w:rPr>
          <w:sz w:val="24"/>
          <w:szCs w:val="24"/>
        </w:rPr>
        <w:t xml:space="preserve"> Vorsitz </w:t>
      </w:r>
      <w:r w:rsidR="00DA0196">
        <w:rPr>
          <w:sz w:val="24"/>
          <w:szCs w:val="24"/>
        </w:rPr>
        <w:t>führt</w:t>
      </w:r>
      <w:r w:rsidR="00752554">
        <w:rPr>
          <w:sz w:val="24"/>
          <w:szCs w:val="24"/>
        </w:rPr>
        <w:t xml:space="preserve"> Heinrich Mann</w:t>
      </w:r>
      <w:r w:rsidR="00DA0196">
        <w:rPr>
          <w:sz w:val="24"/>
          <w:szCs w:val="24"/>
        </w:rPr>
        <w:t>;</w:t>
      </w:r>
      <w:r w:rsidR="00752554">
        <w:rPr>
          <w:sz w:val="24"/>
          <w:szCs w:val="24"/>
        </w:rPr>
        <w:t xml:space="preserve"> </w:t>
      </w:r>
      <w:r w:rsidR="00DA0196">
        <w:rPr>
          <w:sz w:val="24"/>
          <w:szCs w:val="24"/>
        </w:rPr>
        <w:lastRenderedPageBreak/>
        <w:t>v</w:t>
      </w:r>
      <w:r w:rsidR="00F65DDC">
        <w:rPr>
          <w:sz w:val="24"/>
          <w:szCs w:val="24"/>
        </w:rPr>
        <w:t>ersammelt sind</w:t>
      </w:r>
      <w:r w:rsidR="00AA6454">
        <w:rPr>
          <w:sz w:val="24"/>
          <w:szCs w:val="24"/>
        </w:rPr>
        <w:t xml:space="preserve"> 118 </w:t>
      </w:r>
      <w:r w:rsidR="00F65DDC">
        <w:rPr>
          <w:sz w:val="24"/>
          <w:szCs w:val="24"/>
        </w:rPr>
        <w:t>T</w:t>
      </w:r>
      <w:r w:rsidR="00AA6454">
        <w:rPr>
          <w:sz w:val="24"/>
          <w:szCs w:val="24"/>
        </w:rPr>
        <w:t>eil</w:t>
      </w:r>
      <w:r w:rsidR="00F65DDC">
        <w:rPr>
          <w:sz w:val="24"/>
          <w:szCs w:val="24"/>
        </w:rPr>
        <w:t>nehmer</w:t>
      </w:r>
      <w:r w:rsidR="00AA6454">
        <w:rPr>
          <w:sz w:val="24"/>
          <w:szCs w:val="24"/>
        </w:rPr>
        <w:t xml:space="preserve">. </w:t>
      </w:r>
      <w:r w:rsidR="00752554">
        <w:rPr>
          <w:sz w:val="24"/>
          <w:szCs w:val="24"/>
        </w:rPr>
        <w:t>A</w:t>
      </w:r>
      <w:r w:rsidR="00BC4FA1">
        <w:rPr>
          <w:sz w:val="24"/>
          <w:szCs w:val="24"/>
        </w:rPr>
        <w:t xml:space="preserve">us </w:t>
      </w:r>
      <w:r w:rsidR="00752554">
        <w:rPr>
          <w:sz w:val="24"/>
          <w:szCs w:val="24"/>
        </w:rPr>
        <w:t>d</w:t>
      </w:r>
      <w:r w:rsidR="00DA7D8C">
        <w:rPr>
          <w:sz w:val="24"/>
          <w:szCs w:val="24"/>
        </w:rPr>
        <w:t>ies</w:t>
      </w:r>
      <w:r w:rsidR="00752554">
        <w:rPr>
          <w:sz w:val="24"/>
          <w:szCs w:val="24"/>
        </w:rPr>
        <w:t>em T</w:t>
      </w:r>
      <w:r w:rsidR="00DA7D8C">
        <w:rPr>
          <w:sz w:val="24"/>
          <w:szCs w:val="24"/>
        </w:rPr>
        <w:t>reffen</w:t>
      </w:r>
      <w:r w:rsidR="00752554">
        <w:rPr>
          <w:sz w:val="24"/>
          <w:szCs w:val="24"/>
        </w:rPr>
        <w:t xml:space="preserve"> </w:t>
      </w:r>
      <w:r w:rsidR="00BC4FA1">
        <w:rPr>
          <w:sz w:val="24"/>
          <w:szCs w:val="24"/>
        </w:rPr>
        <w:t>entst</w:t>
      </w:r>
      <w:r w:rsidR="0016477A">
        <w:rPr>
          <w:sz w:val="24"/>
          <w:szCs w:val="24"/>
        </w:rPr>
        <w:t>eh</w:t>
      </w:r>
      <w:r w:rsidR="00BC4FA1">
        <w:rPr>
          <w:sz w:val="24"/>
          <w:szCs w:val="24"/>
        </w:rPr>
        <w:t xml:space="preserve">en mit dem </w:t>
      </w:r>
      <w:proofErr w:type="spellStart"/>
      <w:r w:rsidR="00BC4FA1">
        <w:rPr>
          <w:sz w:val="24"/>
          <w:szCs w:val="24"/>
        </w:rPr>
        <w:t>Lutetia-Comité</w:t>
      </w:r>
      <w:proofErr w:type="spellEnd"/>
      <w:r w:rsidR="00BC4FA1">
        <w:rPr>
          <w:sz w:val="24"/>
          <w:szCs w:val="24"/>
        </w:rPr>
        <w:t xml:space="preserve"> und de</w:t>
      </w:r>
      <w:r w:rsidR="00DA7D8C">
        <w:rPr>
          <w:sz w:val="24"/>
          <w:szCs w:val="24"/>
        </w:rPr>
        <w:t>m</w:t>
      </w:r>
      <w:r w:rsidR="00BC4FA1">
        <w:rPr>
          <w:sz w:val="24"/>
          <w:szCs w:val="24"/>
        </w:rPr>
        <w:t xml:space="preserve"> </w:t>
      </w:r>
      <w:proofErr w:type="spellStart"/>
      <w:r w:rsidR="00BC4FA1">
        <w:rPr>
          <w:sz w:val="24"/>
          <w:szCs w:val="24"/>
        </w:rPr>
        <w:t>Lutetia</w:t>
      </w:r>
      <w:proofErr w:type="spellEnd"/>
      <w:r w:rsidR="00BC4FA1">
        <w:rPr>
          <w:sz w:val="24"/>
          <w:szCs w:val="24"/>
        </w:rPr>
        <w:t xml:space="preserve">-Kreis die </w:t>
      </w:r>
      <w:r w:rsidR="00752554">
        <w:rPr>
          <w:sz w:val="24"/>
          <w:szCs w:val="24"/>
        </w:rPr>
        <w:t xml:space="preserve">ersten </w:t>
      </w:r>
      <w:r w:rsidR="00DA7D8C">
        <w:rPr>
          <w:sz w:val="24"/>
          <w:szCs w:val="24"/>
        </w:rPr>
        <w:t>beiden</w:t>
      </w:r>
      <w:r w:rsidR="00BC4FA1">
        <w:rPr>
          <w:sz w:val="24"/>
          <w:szCs w:val="24"/>
        </w:rPr>
        <w:t xml:space="preserve"> Volksfrontorganisationen.</w:t>
      </w:r>
      <w:r w:rsidR="00C801B9">
        <w:rPr>
          <w:sz w:val="24"/>
          <w:szCs w:val="24"/>
        </w:rPr>
        <w:t xml:space="preserve"> </w:t>
      </w:r>
      <w:r w:rsidR="00DA7D8C">
        <w:rPr>
          <w:sz w:val="24"/>
          <w:szCs w:val="24"/>
        </w:rPr>
        <w:t xml:space="preserve">Mit dem </w:t>
      </w:r>
      <w:r w:rsidR="00F65DDC">
        <w:rPr>
          <w:sz w:val="24"/>
          <w:szCs w:val="24"/>
        </w:rPr>
        <w:t>sog. „Claus-Protest“ vom 20. Dezember 1935</w:t>
      </w:r>
      <w:r w:rsidR="00F65DDC">
        <w:rPr>
          <w:rStyle w:val="Funotenzeichen"/>
          <w:sz w:val="24"/>
          <w:szCs w:val="24"/>
        </w:rPr>
        <w:footnoteReference w:id="7"/>
      </w:r>
      <w:r w:rsidR="00F65DDC">
        <w:rPr>
          <w:sz w:val="24"/>
          <w:szCs w:val="24"/>
        </w:rPr>
        <w:t xml:space="preserve"> </w:t>
      </w:r>
      <w:r w:rsidR="00DA7D8C">
        <w:rPr>
          <w:sz w:val="24"/>
          <w:szCs w:val="24"/>
        </w:rPr>
        <w:t>einer Gruppe von SPD- und KPD-Mitgliedern gegen die Hinric</w:t>
      </w:r>
      <w:r w:rsidR="00DA7D8C">
        <w:rPr>
          <w:sz w:val="24"/>
          <w:szCs w:val="24"/>
        </w:rPr>
        <w:t>h</w:t>
      </w:r>
      <w:r w:rsidR="00DA7D8C">
        <w:rPr>
          <w:sz w:val="24"/>
          <w:szCs w:val="24"/>
        </w:rPr>
        <w:t>tung des ehemaligen Berliner BVG-Arbeiters und illegalen Leiters der Roten Hilfe in Berlin Rudolf Claus</w:t>
      </w:r>
      <w:r w:rsidR="00F65DDC">
        <w:rPr>
          <w:sz w:val="24"/>
          <w:szCs w:val="24"/>
        </w:rPr>
        <w:t xml:space="preserve"> </w:t>
      </w:r>
      <w:r w:rsidR="00DA7D8C">
        <w:rPr>
          <w:sz w:val="24"/>
          <w:szCs w:val="24"/>
        </w:rPr>
        <w:t>gelingt der</w:t>
      </w:r>
      <w:r w:rsidR="00752554">
        <w:rPr>
          <w:sz w:val="24"/>
          <w:szCs w:val="24"/>
        </w:rPr>
        <w:t xml:space="preserve"> </w:t>
      </w:r>
      <w:r w:rsidR="00C801B9">
        <w:rPr>
          <w:sz w:val="24"/>
          <w:szCs w:val="24"/>
        </w:rPr>
        <w:t>Durchbruch</w:t>
      </w:r>
      <w:r w:rsidR="00DA7D8C">
        <w:rPr>
          <w:sz w:val="24"/>
          <w:szCs w:val="24"/>
        </w:rPr>
        <w:t>.</w:t>
      </w:r>
      <w:r w:rsidR="00C801B9">
        <w:rPr>
          <w:sz w:val="24"/>
          <w:szCs w:val="24"/>
        </w:rPr>
        <w:t xml:space="preserve"> </w:t>
      </w:r>
      <w:r w:rsidR="00AA6454">
        <w:rPr>
          <w:sz w:val="24"/>
          <w:szCs w:val="24"/>
        </w:rPr>
        <w:t xml:space="preserve">Die Entwicklung gipfelt in einer erneuten Konferenz im Hotel </w:t>
      </w:r>
      <w:proofErr w:type="spellStart"/>
      <w:r w:rsidR="00AA6454">
        <w:rPr>
          <w:sz w:val="24"/>
          <w:szCs w:val="24"/>
        </w:rPr>
        <w:t>Lutetia</w:t>
      </w:r>
      <w:proofErr w:type="spellEnd"/>
      <w:r w:rsidR="00AA6454">
        <w:rPr>
          <w:sz w:val="24"/>
          <w:szCs w:val="24"/>
        </w:rPr>
        <w:t xml:space="preserve"> am 2. Februar 1936. Am 21. Dezember 1936 verabschiedet die Versammlung den Aufruf „Bildet die deu</w:t>
      </w:r>
      <w:r w:rsidR="0016477A">
        <w:rPr>
          <w:sz w:val="24"/>
          <w:szCs w:val="24"/>
        </w:rPr>
        <w:t>t</w:t>
      </w:r>
      <w:r w:rsidR="00AA6454">
        <w:rPr>
          <w:sz w:val="24"/>
          <w:szCs w:val="24"/>
        </w:rPr>
        <w:t>sche Volksfront! Für Friede, Freiheit und Brot!“</w:t>
      </w:r>
      <w:r w:rsidR="00B0728E">
        <w:rPr>
          <w:sz w:val="24"/>
          <w:szCs w:val="24"/>
        </w:rPr>
        <w:t xml:space="preserve"> </w:t>
      </w:r>
      <w:r w:rsidR="00DA7D8C">
        <w:rPr>
          <w:sz w:val="24"/>
          <w:szCs w:val="24"/>
        </w:rPr>
        <w:t>– D</w:t>
      </w:r>
      <w:r w:rsidR="00B0728E">
        <w:rPr>
          <w:sz w:val="24"/>
          <w:szCs w:val="24"/>
        </w:rPr>
        <w:t>ie Aktivitäten des Volksfrontausschusses</w:t>
      </w:r>
      <w:r w:rsidR="00752554">
        <w:rPr>
          <w:sz w:val="24"/>
          <w:szCs w:val="24"/>
        </w:rPr>
        <w:t>, deren weiterer Verlauf hier nicht näher thematisiert wird,</w:t>
      </w:r>
      <w:r w:rsidR="00752554">
        <w:rPr>
          <w:rStyle w:val="Funotenzeichen"/>
          <w:sz w:val="24"/>
          <w:szCs w:val="24"/>
        </w:rPr>
        <w:footnoteReference w:id="8"/>
      </w:r>
      <w:r w:rsidR="00B0728E">
        <w:rPr>
          <w:sz w:val="24"/>
          <w:szCs w:val="24"/>
        </w:rPr>
        <w:t xml:space="preserve"> enden mit den Sitzungen vom 10. </w:t>
      </w:r>
      <w:r w:rsidR="0016477A">
        <w:rPr>
          <w:sz w:val="24"/>
          <w:szCs w:val="24"/>
        </w:rPr>
        <w:t>u</w:t>
      </w:r>
      <w:r w:rsidR="00B0728E">
        <w:rPr>
          <w:sz w:val="24"/>
          <w:szCs w:val="24"/>
        </w:rPr>
        <w:t>nd 11. April 1937.</w:t>
      </w:r>
      <w:r w:rsidR="00B22C10">
        <w:rPr>
          <w:rStyle w:val="Funotenzeichen"/>
          <w:sz w:val="24"/>
          <w:szCs w:val="24"/>
        </w:rPr>
        <w:footnoteReference w:id="9"/>
      </w:r>
    </w:p>
    <w:p w:rsidR="0009399F" w:rsidRDefault="0009399F" w:rsidP="00E41506">
      <w:pPr>
        <w:spacing w:after="0"/>
        <w:ind w:firstLine="708"/>
        <w:jc w:val="both"/>
        <w:rPr>
          <w:sz w:val="24"/>
          <w:szCs w:val="24"/>
        </w:rPr>
      </w:pPr>
    </w:p>
    <w:p w:rsidR="00596239" w:rsidRDefault="004E79C9" w:rsidP="00E41506">
      <w:pPr>
        <w:spacing w:after="0"/>
        <w:ind w:firstLine="708"/>
        <w:jc w:val="both"/>
        <w:rPr>
          <w:sz w:val="24"/>
          <w:szCs w:val="24"/>
        </w:rPr>
      </w:pPr>
      <w:r>
        <w:rPr>
          <w:sz w:val="24"/>
          <w:szCs w:val="24"/>
        </w:rPr>
        <w:t xml:space="preserve">Zu den </w:t>
      </w:r>
      <w:r w:rsidR="00862700">
        <w:rPr>
          <w:sz w:val="24"/>
          <w:szCs w:val="24"/>
        </w:rPr>
        <w:t>Ereignisse</w:t>
      </w:r>
      <w:r w:rsidR="00B816F2">
        <w:rPr>
          <w:sz w:val="24"/>
          <w:szCs w:val="24"/>
        </w:rPr>
        <w:t>n</w:t>
      </w:r>
      <w:r w:rsidR="00862700">
        <w:rPr>
          <w:sz w:val="24"/>
          <w:szCs w:val="24"/>
        </w:rPr>
        <w:t xml:space="preserve">, die die Entwicklung </w:t>
      </w:r>
      <w:r w:rsidR="005B7018">
        <w:rPr>
          <w:sz w:val="24"/>
          <w:szCs w:val="24"/>
        </w:rPr>
        <w:t>negativ</w:t>
      </w:r>
      <w:r w:rsidR="00862700">
        <w:rPr>
          <w:sz w:val="24"/>
          <w:szCs w:val="24"/>
        </w:rPr>
        <w:t xml:space="preserve"> beeinflussen</w:t>
      </w:r>
      <w:r w:rsidR="00DA0196">
        <w:rPr>
          <w:sz w:val="24"/>
          <w:szCs w:val="24"/>
        </w:rPr>
        <w:t xml:space="preserve"> und letztlich zum A</w:t>
      </w:r>
      <w:r w:rsidR="00DA0196">
        <w:rPr>
          <w:sz w:val="24"/>
          <w:szCs w:val="24"/>
        </w:rPr>
        <w:t>b</w:t>
      </w:r>
      <w:r w:rsidR="00DA0196">
        <w:rPr>
          <w:sz w:val="24"/>
          <w:szCs w:val="24"/>
        </w:rPr>
        <w:t>bruch der Volksfrontverhandlungen führen</w:t>
      </w:r>
      <w:r w:rsidR="00862700">
        <w:rPr>
          <w:sz w:val="24"/>
          <w:szCs w:val="24"/>
        </w:rPr>
        <w:t>,</w:t>
      </w:r>
      <w:r>
        <w:rPr>
          <w:sz w:val="24"/>
          <w:szCs w:val="24"/>
        </w:rPr>
        <w:t xml:space="preserve"> gehört die </w:t>
      </w:r>
      <w:r>
        <w:rPr>
          <w:i/>
          <w:sz w:val="24"/>
          <w:szCs w:val="24"/>
        </w:rPr>
        <w:t>Pariser Tageblatt-</w:t>
      </w:r>
      <w:r>
        <w:rPr>
          <w:sz w:val="24"/>
          <w:szCs w:val="24"/>
        </w:rPr>
        <w:t>Affäre</w:t>
      </w:r>
      <w:r w:rsidR="00D207D8">
        <w:rPr>
          <w:sz w:val="24"/>
          <w:szCs w:val="24"/>
        </w:rPr>
        <w:t>, ein kolpo</w:t>
      </w:r>
      <w:r w:rsidR="00D207D8">
        <w:rPr>
          <w:sz w:val="24"/>
          <w:szCs w:val="24"/>
        </w:rPr>
        <w:t>r</w:t>
      </w:r>
      <w:r w:rsidR="00D207D8">
        <w:rPr>
          <w:sz w:val="24"/>
          <w:szCs w:val="24"/>
        </w:rPr>
        <w:t xml:space="preserve">tagehafter Betrugsfall. </w:t>
      </w:r>
      <w:r w:rsidR="007C3520">
        <w:rPr>
          <w:sz w:val="24"/>
          <w:szCs w:val="24"/>
        </w:rPr>
        <w:t>Ihr</w:t>
      </w:r>
      <w:r w:rsidR="00AD6D30">
        <w:rPr>
          <w:sz w:val="24"/>
          <w:szCs w:val="24"/>
        </w:rPr>
        <w:t xml:space="preserve"> Ablauf wird am klarsten in den einleitenden Passagen des insg</w:t>
      </w:r>
      <w:r w:rsidR="00AD6D30">
        <w:rPr>
          <w:sz w:val="24"/>
          <w:szCs w:val="24"/>
        </w:rPr>
        <w:t>e</w:t>
      </w:r>
      <w:r w:rsidR="00AD6D30">
        <w:rPr>
          <w:sz w:val="24"/>
          <w:szCs w:val="24"/>
        </w:rPr>
        <w:t>samt 43 Seiten umfassenden „Berichts der Minderheit der Untersuchungskommission in der Streitsache Bernhard-</w:t>
      </w:r>
      <w:proofErr w:type="spellStart"/>
      <w:r w:rsidR="00AD6D30">
        <w:rPr>
          <w:sz w:val="24"/>
          <w:szCs w:val="24"/>
        </w:rPr>
        <w:t>Caro</w:t>
      </w:r>
      <w:proofErr w:type="spellEnd"/>
      <w:r w:rsidR="00AD6D30">
        <w:rPr>
          <w:sz w:val="24"/>
          <w:szCs w:val="24"/>
        </w:rPr>
        <w:t xml:space="preserve"> einerseits, Schwarzschild andererseits“ beschrieben. Die</w:t>
      </w:r>
      <w:r w:rsidR="007C3520">
        <w:rPr>
          <w:sz w:val="24"/>
          <w:szCs w:val="24"/>
        </w:rPr>
        <w:t>se</w:t>
      </w:r>
      <w:r w:rsidR="00D207D8">
        <w:rPr>
          <w:sz w:val="24"/>
          <w:szCs w:val="24"/>
        </w:rPr>
        <w:t xml:space="preserve"> Unte</w:t>
      </w:r>
      <w:r w:rsidR="00D207D8">
        <w:rPr>
          <w:sz w:val="24"/>
          <w:szCs w:val="24"/>
        </w:rPr>
        <w:t>r</w:t>
      </w:r>
      <w:r w:rsidR="00D207D8">
        <w:rPr>
          <w:sz w:val="24"/>
          <w:szCs w:val="24"/>
        </w:rPr>
        <w:t>suchung</w:t>
      </w:r>
      <w:r w:rsidR="00B23D01">
        <w:rPr>
          <w:sz w:val="24"/>
          <w:szCs w:val="24"/>
        </w:rPr>
        <w:t xml:space="preserve"> </w:t>
      </w:r>
      <w:r w:rsidR="00D734E9">
        <w:rPr>
          <w:sz w:val="24"/>
          <w:szCs w:val="24"/>
        </w:rPr>
        <w:t>fand</w:t>
      </w:r>
      <w:r w:rsidR="00D207D8">
        <w:rPr>
          <w:sz w:val="24"/>
          <w:szCs w:val="24"/>
        </w:rPr>
        <w:t xml:space="preserve"> zwischen dem 30. Juli 1936 und dem 26. Februar 1937 </w:t>
      </w:r>
      <w:r w:rsidR="00D734E9">
        <w:rPr>
          <w:sz w:val="24"/>
          <w:szCs w:val="24"/>
        </w:rPr>
        <w:t xml:space="preserve">statt. Sie wurde </w:t>
      </w:r>
      <w:r w:rsidR="00D207D8">
        <w:rPr>
          <w:sz w:val="24"/>
          <w:szCs w:val="24"/>
        </w:rPr>
        <w:t xml:space="preserve">von </w:t>
      </w:r>
      <w:r w:rsidR="00D734E9">
        <w:rPr>
          <w:sz w:val="24"/>
          <w:szCs w:val="24"/>
        </w:rPr>
        <w:t>e</w:t>
      </w:r>
      <w:r w:rsidR="00D734E9">
        <w:rPr>
          <w:sz w:val="24"/>
          <w:szCs w:val="24"/>
        </w:rPr>
        <w:t>i</w:t>
      </w:r>
      <w:r w:rsidR="00D734E9">
        <w:rPr>
          <w:sz w:val="24"/>
          <w:szCs w:val="24"/>
        </w:rPr>
        <w:t xml:space="preserve">nem fünfköpfigen Ausschuss </w:t>
      </w:r>
      <w:r w:rsidR="007F7312">
        <w:rPr>
          <w:sz w:val="24"/>
          <w:szCs w:val="24"/>
        </w:rPr>
        <w:t xml:space="preserve">der </w:t>
      </w:r>
      <w:proofErr w:type="spellStart"/>
      <w:r w:rsidR="007F7312">
        <w:rPr>
          <w:sz w:val="24"/>
          <w:szCs w:val="24"/>
        </w:rPr>
        <w:t>Association</w:t>
      </w:r>
      <w:proofErr w:type="spellEnd"/>
      <w:r w:rsidR="007F7312">
        <w:rPr>
          <w:sz w:val="24"/>
          <w:szCs w:val="24"/>
        </w:rPr>
        <w:t xml:space="preserve"> des </w:t>
      </w:r>
      <w:proofErr w:type="spellStart"/>
      <w:r w:rsidR="007F7312">
        <w:rPr>
          <w:sz w:val="24"/>
          <w:szCs w:val="24"/>
        </w:rPr>
        <w:t>Journalistes</w:t>
      </w:r>
      <w:proofErr w:type="spellEnd"/>
      <w:r w:rsidR="007F7312">
        <w:rPr>
          <w:sz w:val="24"/>
          <w:szCs w:val="24"/>
        </w:rPr>
        <w:t xml:space="preserve"> </w:t>
      </w:r>
      <w:proofErr w:type="spellStart"/>
      <w:r w:rsidR="007F7312">
        <w:rPr>
          <w:sz w:val="24"/>
          <w:szCs w:val="24"/>
        </w:rPr>
        <w:t>Allemands</w:t>
      </w:r>
      <w:proofErr w:type="spellEnd"/>
      <w:r w:rsidR="007F7312">
        <w:rPr>
          <w:sz w:val="24"/>
          <w:szCs w:val="24"/>
        </w:rPr>
        <w:t xml:space="preserve"> </w:t>
      </w:r>
      <w:proofErr w:type="spellStart"/>
      <w:r w:rsidR="007F7312">
        <w:rPr>
          <w:sz w:val="24"/>
          <w:szCs w:val="24"/>
        </w:rPr>
        <w:t>Emigrés</w:t>
      </w:r>
      <w:proofErr w:type="spellEnd"/>
      <w:r w:rsidR="00AD6D30">
        <w:rPr>
          <w:sz w:val="24"/>
          <w:szCs w:val="24"/>
        </w:rPr>
        <w:t xml:space="preserve"> </w:t>
      </w:r>
      <w:r w:rsidR="00D734E9">
        <w:rPr>
          <w:sz w:val="24"/>
          <w:szCs w:val="24"/>
        </w:rPr>
        <w:t>durchg</w:t>
      </w:r>
      <w:r w:rsidR="00D734E9">
        <w:rPr>
          <w:sz w:val="24"/>
          <w:szCs w:val="24"/>
        </w:rPr>
        <w:t>e</w:t>
      </w:r>
      <w:r w:rsidR="00D734E9">
        <w:rPr>
          <w:sz w:val="24"/>
          <w:szCs w:val="24"/>
        </w:rPr>
        <w:t>führ</w:t>
      </w:r>
      <w:r w:rsidR="00D207D8">
        <w:rPr>
          <w:sz w:val="24"/>
          <w:szCs w:val="24"/>
        </w:rPr>
        <w:t>t</w:t>
      </w:r>
      <w:r w:rsidR="00B23D01">
        <w:rPr>
          <w:sz w:val="24"/>
          <w:szCs w:val="24"/>
        </w:rPr>
        <w:t>,</w:t>
      </w:r>
      <w:r w:rsidR="00B23D01" w:rsidRPr="00B23D01">
        <w:rPr>
          <w:sz w:val="24"/>
          <w:szCs w:val="24"/>
        </w:rPr>
        <w:t xml:space="preserve"> </w:t>
      </w:r>
      <w:r w:rsidR="00B23D01">
        <w:rPr>
          <w:sz w:val="24"/>
          <w:szCs w:val="24"/>
        </w:rPr>
        <w:t>der zuständigen Standesorganisation</w:t>
      </w:r>
      <w:r w:rsidR="00D207D8">
        <w:rPr>
          <w:sz w:val="24"/>
          <w:szCs w:val="24"/>
        </w:rPr>
        <w:t>.</w:t>
      </w:r>
      <w:r w:rsidR="00D207D8">
        <w:rPr>
          <w:rStyle w:val="Funotenzeichen"/>
          <w:sz w:val="24"/>
          <w:szCs w:val="24"/>
        </w:rPr>
        <w:footnoteReference w:id="10"/>
      </w:r>
      <w:r w:rsidR="00D207D8">
        <w:rPr>
          <w:sz w:val="24"/>
          <w:szCs w:val="24"/>
        </w:rPr>
        <w:t xml:space="preserve"> </w:t>
      </w:r>
      <w:r w:rsidR="00B23D01">
        <w:rPr>
          <w:sz w:val="24"/>
          <w:szCs w:val="24"/>
        </w:rPr>
        <w:t>Es</w:t>
      </w:r>
      <w:r w:rsidR="00AD6D30">
        <w:rPr>
          <w:sz w:val="24"/>
          <w:szCs w:val="24"/>
        </w:rPr>
        <w:t xml:space="preserve"> </w:t>
      </w:r>
      <w:r w:rsidR="00D207D8" w:rsidRPr="00D207D8">
        <w:rPr>
          <w:sz w:val="24"/>
          <w:szCs w:val="24"/>
        </w:rPr>
        <w:t>folgten Prozesse vor französischen Geric</w:t>
      </w:r>
      <w:r w:rsidR="00D207D8" w:rsidRPr="00D207D8">
        <w:rPr>
          <w:sz w:val="24"/>
          <w:szCs w:val="24"/>
        </w:rPr>
        <w:t>h</w:t>
      </w:r>
      <w:r w:rsidR="00D207D8" w:rsidRPr="00D207D8">
        <w:rPr>
          <w:sz w:val="24"/>
          <w:szCs w:val="24"/>
        </w:rPr>
        <w:lastRenderedPageBreak/>
        <w:t>ten</w:t>
      </w:r>
      <w:r w:rsidR="007C3520">
        <w:rPr>
          <w:sz w:val="24"/>
          <w:szCs w:val="24"/>
        </w:rPr>
        <w:t>, dazu ein weiterer Prozess</w:t>
      </w:r>
      <w:r w:rsidR="00D207D8" w:rsidRPr="00D207D8">
        <w:rPr>
          <w:sz w:val="24"/>
          <w:szCs w:val="24"/>
        </w:rPr>
        <w:t xml:space="preserve"> vor einer jüdischen Standesorganisation. D</w:t>
      </w:r>
      <w:r w:rsidR="007C3520">
        <w:rPr>
          <w:sz w:val="24"/>
          <w:szCs w:val="24"/>
        </w:rPr>
        <w:t>as Urteil</w:t>
      </w:r>
      <w:r w:rsidR="00D207D8" w:rsidRPr="00D207D8">
        <w:rPr>
          <w:sz w:val="24"/>
          <w:szCs w:val="24"/>
        </w:rPr>
        <w:t xml:space="preserve"> war in allen </w:t>
      </w:r>
      <w:r w:rsidR="007C3520">
        <w:rPr>
          <w:sz w:val="24"/>
          <w:szCs w:val="24"/>
        </w:rPr>
        <w:t>Fäll</w:t>
      </w:r>
      <w:r w:rsidR="00D207D8" w:rsidRPr="00D207D8">
        <w:rPr>
          <w:sz w:val="24"/>
          <w:szCs w:val="24"/>
        </w:rPr>
        <w:t>en ähnlich oder annähernd ähnlich</w:t>
      </w:r>
      <w:r w:rsidR="00596239">
        <w:rPr>
          <w:sz w:val="24"/>
          <w:szCs w:val="24"/>
        </w:rPr>
        <w:t>:</w:t>
      </w:r>
    </w:p>
    <w:p w:rsidR="00596239" w:rsidRDefault="00596239" w:rsidP="00E41506">
      <w:pPr>
        <w:spacing w:after="0"/>
        <w:ind w:left="1134"/>
        <w:jc w:val="both"/>
        <w:rPr>
          <w:sz w:val="24"/>
          <w:szCs w:val="24"/>
        </w:rPr>
      </w:pPr>
      <w:r>
        <w:rPr>
          <w:sz w:val="24"/>
          <w:szCs w:val="24"/>
        </w:rPr>
        <w:t xml:space="preserve">„Am 11. Juni 1936 erschien in Nummer 911 des </w:t>
      </w:r>
      <w:r w:rsidRPr="00596239">
        <w:rPr>
          <w:i/>
          <w:sz w:val="24"/>
          <w:szCs w:val="24"/>
        </w:rPr>
        <w:t>Pariser Tageblatt</w:t>
      </w:r>
      <w:r>
        <w:rPr>
          <w:sz w:val="24"/>
          <w:szCs w:val="24"/>
        </w:rPr>
        <w:t xml:space="preserve"> eine ‚Erkl</w:t>
      </w:r>
      <w:r>
        <w:rPr>
          <w:sz w:val="24"/>
          <w:szCs w:val="24"/>
        </w:rPr>
        <w:t>ä</w:t>
      </w:r>
      <w:r>
        <w:rPr>
          <w:sz w:val="24"/>
          <w:szCs w:val="24"/>
        </w:rPr>
        <w:t xml:space="preserve">rung‘, der Verleger Wladimir </w:t>
      </w:r>
      <w:proofErr w:type="spellStart"/>
      <w:r>
        <w:rPr>
          <w:sz w:val="24"/>
          <w:szCs w:val="24"/>
        </w:rPr>
        <w:t>Poliakoff</w:t>
      </w:r>
      <w:proofErr w:type="spellEnd"/>
      <w:r>
        <w:rPr>
          <w:sz w:val="24"/>
          <w:szCs w:val="24"/>
        </w:rPr>
        <w:t xml:space="preserve"> habe im Deutschen Konsulat mit Dr. Schmolz, dem Leiter der Presse- und Propagandaabteilung der Deutschen Bo</w:t>
      </w:r>
      <w:r>
        <w:rPr>
          <w:sz w:val="24"/>
          <w:szCs w:val="24"/>
        </w:rPr>
        <w:t>t</w:t>
      </w:r>
      <w:r>
        <w:rPr>
          <w:sz w:val="24"/>
          <w:szCs w:val="24"/>
        </w:rPr>
        <w:t xml:space="preserve">schaft, verhandelt; </w:t>
      </w:r>
      <w:r w:rsidR="00AD25DC">
        <w:rPr>
          <w:sz w:val="24"/>
          <w:szCs w:val="24"/>
        </w:rPr>
        <w:t>i</w:t>
      </w:r>
      <w:r>
        <w:rPr>
          <w:sz w:val="24"/>
          <w:szCs w:val="24"/>
        </w:rPr>
        <w:t xml:space="preserve">m Anschluss daran sei dem abwesenden Chefredakteur Georg Bernhard und dem Geschäftsführer Grave von </w:t>
      </w:r>
      <w:proofErr w:type="spellStart"/>
      <w:r>
        <w:rPr>
          <w:sz w:val="24"/>
          <w:szCs w:val="24"/>
        </w:rPr>
        <w:t>Poliakoff</w:t>
      </w:r>
      <w:proofErr w:type="spellEnd"/>
      <w:r>
        <w:rPr>
          <w:sz w:val="24"/>
          <w:szCs w:val="24"/>
        </w:rPr>
        <w:t xml:space="preserve"> gekündigt worden; der Verleger habe erklärt, der Kurs der Zeitung werde geändert durch eine loyalere Einstellung gegenüber Hitler. Um diesen Streich abzuwehren, werde die bisherige Redaktion ein neues Blatt, die </w:t>
      </w:r>
      <w:r w:rsidRPr="00596239">
        <w:rPr>
          <w:i/>
          <w:sz w:val="24"/>
          <w:szCs w:val="24"/>
        </w:rPr>
        <w:t>Pariser Tageszeitung</w:t>
      </w:r>
      <w:r>
        <w:rPr>
          <w:sz w:val="24"/>
          <w:szCs w:val="24"/>
        </w:rPr>
        <w:t>, gründen. In der Tat erschien am nächsten Tage in der beim gleichen Drucker unter dem angekündigten Titel erscheinenden Zeitung ein Artikel ‚Wir klagen an!‘, der die Beschuldigungen wiederholte und erweiterte, auf Grund von ‚Feststellungen …, an deren Authent</w:t>
      </w:r>
      <w:r>
        <w:rPr>
          <w:sz w:val="24"/>
          <w:szCs w:val="24"/>
        </w:rPr>
        <w:t>i</w:t>
      </w:r>
      <w:r>
        <w:rPr>
          <w:sz w:val="24"/>
          <w:szCs w:val="24"/>
        </w:rPr>
        <w:t xml:space="preserve">zität kein Zweifel erlaubt ist‘, über deren Natur jedoch nichts gesagt wurde. Der Verleger wurde darin aufgefordert, sich vor einem ordentlichen Gericht oder vor einem Emigranten-Schiedsgericht zu stellen. Der von </w:t>
      </w:r>
      <w:proofErr w:type="spellStart"/>
      <w:r>
        <w:rPr>
          <w:sz w:val="24"/>
          <w:szCs w:val="24"/>
        </w:rPr>
        <w:t>Poliakoff</w:t>
      </w:r>
      <w:proofErr w:type="spellEnd"/>
      <w:r>
        <w:rPr>
          <w:sz w:val="24"/>
          <w:szCs w:val="24"/>
        </w:rPr>
        <w:t xml:space="preserve"> zur Weiterführung seines Blattes engagierte Redakteur Richard </w:t>
      </w:r>
      <w:proofErr w:type="spellStart"/>
      <w:r>
        <w:rPr>
          <w:sz w:val="24"/>
          <w:szCs w:val="24"/>
        </w:rPr>
        <w:t>Lewinsohn-Morus</w:t>
      </w:r>
      <w:proofErr w:type="spellEnd"/>
      <w:r w:rsidR="00284557">
        <w:rPr>
          <w:sz w:val="24"/>
          <w:szCs w:val="24"/>
        </w:rPr>
        <w:t xml:space="preserve"> </w:t>
      </w:r>
      <w:r>
        <w:rPr>
          <w:sz w:val="24"/>
          <w:szCs w:val="24"/>
        </w:rPr>
        <w:t xml:space="preserve">wurde als Verräter bezeichnet. Das </w:t>
      </w:r>
      <w:r w:rsidRPr="00596239">
        <w:rPr>
          <w:i/>
          <w:sz w:val="24"/>
          <w:szCs w:val="24"/>
        </w:rPr>
        <w:t>Pariser Tageblatt</w:t>
      </w:r>
      <w:r>
        <w:rPr>
          <w:sz w:val="24"/>
          <w:szCs w:val="24"/>
        </w:rPr>
        <w:t xml:space="preserve"> seinerseits brachte in Nummer 912 vom 12. J</w:t>
      </w:r>
      <w:r>
        <w:rPr>
          <w:sz w:val="24"/>
          <w:szCs w:val="24"/>
        </w:rPr>
        <w:t>u</w:t>
      </w:r>
      <w:r>
        <w:rPr>
          <w:sz w:val="24"/>
          <w:szCs w:val="24"/>
        </w:rPr>
        <w:t xml:space="preserve">ni eine ‚Erklärung des Verlegers‘, die diese Beschuldigungen unwahr nannte und eine gerichtliche Klage gegen die bisherigen Redakteure ankündigte. Das weitere Erscheinen des </w:t>
      </w:r>
      <w:r>
        <w:rPr>
          <w:i/>
          <w:sz w:val="24"/>
          <w:szCs w:val="24"/>
        </w:rPr>
        <w:t>Pariser Tageblatt</w:t>
      </w:r>
      <w:r>
        <w:rPr>
          <w:sz w:val="24"/>
          <w:szCs w:val="24"/>
        </w:rPr>
        <w:t xml:space="preserve"> wurde durch einen Überfall auf </w:t>
      </w:r>
      <w:proofErr w:type="spellStart"/>
      <w:r>
        <w:rPr>
          <w:sz w:val="24"/>
          <w:szCs w:val="24"/>
        </w:rPr>
        <w:t>Lewinsohn-Morus</w:t>
      </w:r>
      <w:proofErr w:type="spellEnd"/>
      <w:r w:rsidR="00613AE5">
        <w:rPr>
          <w:rStyle w:val="Funotenzeichen"/>
          <w:sz w:val="24"/>
          <w:szCs w:val="24"/>
        </w:rPr>
        <w:footnoteReference w:id="11"/>
      </w:r>
      <w:r w:rsidR="00613AE5">
        <w:rPr>
          <w:sz w:val="24"/>
          <w:szCs w:val="24"/>
        </w:rPr>
        <w:t xml:space="preserve"> </w:t>
      </w:r>
      <w:r>
        <w:rPr>
          <w:sz w:val="24"/>
          <w:szCs w:val="24"/>
        </w:rPr>
        <w:t>und die Weigerung der Setzer, für dieses Blatt zu arbeiten, verhindert; ein Teil der Auflage wurde geraubt und vernichtet. Dem neuen Blatte gingen von zahlreichen Franzosen und Emigranten Glückwünsche zu der Abwehr des nati</w:t>
      </w:r>
      <w:r>
        <w:rPr>
          <w:sz w:val="24"/>
          <w:szCs w:val="24"/>
        </w:rPr>
        <w:t>o</w:t>
      </w:r>
      <w:r>
        <w:rPr>
          <w:sz w:val="24"/>
          <w:szCs w:val="24"/>
        </w:rPr>
        <w:t>nalsozialistischen Anschlags zu.</w:t>
      </w:r>
      <w:r w:rsidR="005B7018">
        <w:rPr>
          <w:sz w:val="24"/>
          <w:szCs w:val="24"/>
        </w:rPr>
        <w:t>“</w:t>
      </w:r>
    </w:p>
    <w:p w:rsidR="00407D6D" w:rsidRPr="005B7018" w:rsidRDefault="00B23D01" w:rsidP="00E41506">
      <w:pPr>
        <w:spacing w:after="0"/>
        <w:jc w:val="both"/>
        <w:rPr>
          <w:sz w:val="24"/>
          <w:szCs w:val="24"/>
        </w:rPr>
      </w:pPr>
      <w:r>
        <w:rPr>
          <w:sz w:val="24"/>
          <w:szCs w:val="24"/>
        </w:rPr>
        <w:t xml:space="preserve">Am 27. Juni, also nach einer Karenzzeit von zwei Wochen, griff das </w:t>
      </w:r>
      <w:r>
        <w:rPr>
          <w:i/>
          <w:sz w:val="24"/>
          <w:szCs w:val="24"/>
        </w:rPr>
        <w:t>Neue Tage-Buch</w:t>
      </w:r>
      <w:r>
        <w:rPr>
          <w:sz w:val="24"/>
          <w:szCs w:val="24"/>
        </w:rPr>
        <w:t xml:space="preserve"> die A</w:t>
      </w:r>
      <w:r>
        <w:rPr>
          <w:sz w:val="24"/>
          <w:szCs w:val="24"/>
        </w:rPr>
        <w:t>f</w:t>
      </w:r>
      <w:r>
        <w:rPr>
          <w:sz w:val="24"/>
          <w:szCs w:val="24"/>
        </w:rPr>
        <w:t xml:space="preserve">färe auf. Der Ausgangspunkt </w:t>
      </w:r>
      <w:r w:rsidR="005B7018">
        <w:rPr>
          <w:sz w:val="24"/>
          <w:szCs w:val="24"/>
        </w:rPr>
        <w:t xml:space="preserve">war </w:t>
      </w:r>
      <w:r w:rsidR="00D734E9">
        <w:rPr>
          <w:sz w:val="24"/>
          <w:szCs w:val="24"/>
        </w:rPr>
        <w:t xml:space="preserve">dabei </w:t>
      </w:r>
      <w:r w:rsidR="005B7018">
        <w:rPr>
          <w:sz w:val="24"/>
          <w:szCs w:val="24"/>
        </w:rPr>
        <w:t xml:space="preserve">der Überfall </w:t>
      </w:r>
      <w:r w:rsidR="006D2565">
        <w:rPr>
          <w:sz w:val="24"/>
          <w:szCs w:val="24"/>
        </w:rPr>
        <w:t>auf Richard</w:t>
      </w:r>
      <w:r w:rsidR="005B7018">
        <w:rPr>
          <w:sz w:val="24"/>
          <w:szCs w:val="24"/>
        </w:rPr>
        <w:t xml:space="preserve"> </w:t>
      </w:r>
      <w:proofErr w:type="spellStart"/>
      <w:r w:rsidR="006D2565">
        <w:rPr>
          <w:sz w:val="24"/>
          <w:szCs w:val="24"/>
        </w:rPr>
        <w:t>Lewinsohn</w:t>
      </w:r>
      <w:proofErr w:type="spellEnd"/>
      <w:r w:rsidR="006D2565">
        <w:rPr>
          <w:sz w:val="24"/>
          <w:szCs w:val="24"/>
        </w:rPr>
        <w:t>. Leopold Schwarzschild zweifelte die Motive der Akteure an</w:t>
      </w:r>
      <w:r w:rsidR="00D734E9">
        <w:rPr>
          <w:sz w:val="24"/>
          <w:szCs w:val="24"/>
        </w:rPr>
        <w:t xml:space="preserve">. </w:t>
      </w:r>
      <w:r w:rsidR="008211C8">
        <w:rPr>
          <w:sz w:val="24"/>
          <w:szCs w:val="24"/>
        </w:rPr>
        <w:t>– D</w:t>
      </w:r>
      <w:r w:rsidR="00D734E9">
        <w:rPr>
          <w:sz w:val="24"/>
          <w:szCs w:val="24"/>
        </w:rPr>
        <w:t xml:space="preserve">er </w:t>
      </w:r>
      <w:r w:rsidR="00FB626F">
        <w:rPr>
          <w:sz w:val="24"/>
          <w:szCs w:val="24"/>
        </w:rPr>
        <w:t>„</w:t>
      </w:r>
      <w:r w:rsidR="00D734E9">
        <w:rPr>
          <w:sz w:val="24"/>
          <w:szCs w:val="24"/>
        </w:rPr>
        <w:t>Bericht</w:t>
      </w:r>
      <w:r w:rsidR="00FB626F">
        <w:rPr>
          <w:sz w:val="24"/>
          <w:szCs w:val="24"/>
        </w:rPr>
        <w:t>“</w:t>
      </w:r>
      <w:r w:rsidR="00D734E9">
        <w:rPr>
          <w:sz w:val="24"/>
          <w:szCs w:val="24"/>
        </w:rPr>
        <w:t xml:space="preserve"> umreißt knapp den Ve</w:t>
      </w:r>
      <w:r w:rsidR="00D734E9">
        <w:rPr>
          <w:sz w:val="24"/>
          <w:szCs w:val="24"/>
        </w:rPr>
        <w:t>r</w:t>
      </w:r>
      <w:r w:rsidR="00D734E9">
        <w:rPr>
          <w:sz w:val="24"/>
          <w:szCs w:val="24"/>
        </w:rPr>
        <w:t xml:space="preserve">lauf der Auseinandersetzung, die sich aus der Intervention </w:t>
      </w:r>
      <w:r w:rsidR="008211C8">
        <w:rPr>
          <w:sz w:val="24"/>
          <w:szCs w:val="24"/>
        </w:rPr>
        <w:t xml:space="preserve">des </w:t>
      </w:r>
      <w:r w:rsidR="008211C8">
        <w:rPr>
          <w:i/>
          <w:sz w:val="24"/>
          <w:szCs w:val="24"/>
        </w:rPr>
        <w:t>Neue Tage-Buchs</w:t>
      </w:r>
      <w:r w:rsidR="008211C8">
        <w:rPr>
          <w:sz w:val="24"/>
          <w:szCs w:val="24"/>
        </w:rPr>
        <w:t xml:space="preserve"> </w:t>
      </w:r>
      <w:r w:rsidR="00D734E9">
        <w:rPr>
          <w:sz w:val="24"/>
          <w:szCs w:val="24"/>
        </w:rPr>
        <w:t>entwickelt</w:t>
      </w:r>
      <w:r w:rsidR="008211C8">
        <w:rPr>
          <w:sz w:val="24"/>
          <w:szCs w:val="24"/>
        </w:rPr>
        <w:t>e</w:t>
      </w:r>
      <w:r w:rsidR="006D2565">
        <w:rPr>
          <w:sz w:val="24"/>
          <w:szCs w:val="24"/>
        </w:rPr>
        <w:t>:</w:t>
      </w:r>
    </w:p>
    <w:p w:rsidR="00596239" w:rsidRDefault="005B7018" w:rsidP="00E41506">
      <w:pPr>
        <w:spacing w:after="0"/>
        <w:ind w:left="1134"/>
        <w:jc w:val="both"/>
        <w:rPr>
          <w:sz w:val="24"/>
          <w:szCs w:val="24"/>
        </w:rPr>
      </w:pPr>
      <w:r>
        <w:rPr>
          <w:sz w:val="24"/>
          <w:szCs w:val="24"/>
        </w:rPr>
        <w:t>„</w:t>
      </w:r>
      <w:r w:rsidR="00596239">
        <w:rPr>
          <w:sz w:val="24"/>
          <w:szCs w:val="24"/>
        </w:rPr>
        <w:t xml:space="preserve">Das </w:t>
      </w:r>
      <w:r w:rsidR="00596239">
        <w:rPr>
          <w:i/>
          <w:sz w:val="24"/>
          <w:szCs w:val="24"/>
        </w:rPr>
        <w:t>Neue Tage-Buch</w:t>
      </w:r>
      <w:r w:rsidR="00596239">
        <w:rPr>
          <w:sz w:val="24"/>
          <w:szCs w:val="24"/>
        </w:rPr>
        <w:t xml:space="preserve"> </w:t>
      </w:r>
      <w:r w:rsidR="00E7695A">
        <w:rPr>
          <w:sz w:val="24"/>
          <w:szCs w:val="24"/>
        </w:rPr>
        <w:t xml:space="preserve">beschäftigte sich vom 27. Juni an mit dem Fall, den es dunkel nannte, in seinen Nummern 26 bis 29. Es erklärte, die Redaktion der </w:t>
      </w:r>
      <w:r w:rsidR="00E7695A">
        <w:rPr>
          <w:i/>
          <w:sz w:val="24"/>
          <w:szCs w:val="24"/>
        </w:rPr>
        <w:t>Par</w:t>
      </w:r>
      <w:r w:rsidR="00E7695A">
        <w:rPr>
          <w:i/>
          <w:sz w:val="24"/>
          <w:szCs w:val="24"/>
        </w:rPr>
        <w:t>i</w:t>
      </w:r>
      <w:r w:rsidR="00E7695A">
        <w:rPr>
          <w:i/>
          <w:sz w:val="24"/>
          <w:szCs w:val="24"/>
        </w:rPr>
        <w:t>ser Tageszeitung</w:t>
      </w:r>
      <w:r w:rsidR="00E7695A">
        <w:rPr>
          <w:sz w:val="24"/>
          <w:szCs w:val="24"/>
        </w:rPr>
        <w:t xml:space="preserve"> stelle ihre Behauptungen über </w:t>
      </w:r>
      <w:proofErr w:type="spellStart"/>
      <w:r w:rsidR="00E7695A">
        <w:rPr>
          <w:sz w:val="24"/>
          <w:szCs w:val="24"/>
        </w:rPr>
        <w:t>Poliakoff</w:t>
      </w:r>
      <w:proofErr w:type="spellEnd"/>
      <w:r w:rsidR="00E7695A">
        <w:rPr>
          <w:sz w:val="24"/>
          <w:szCs w:val="24"/>
        </w:rPr>
        <w:t xml:space="preserve"> entgegen der Wahrheit wider besseres Wissen auf. Die Absicht dabei sei gewesen, unter Vorschützung nicht existierender politischer Gründe den Verleger um sein Blatt zu bringen. In drei Sitzungen der </w:t>
      </w:r>
      <w:proofErr w:type="spellStart"/>
      <w:r w:rsidR="00E7695A">
        <w:rPr>
          <w:sz w:val="24"/>
          <w:szCs w:val="24"/>
        </w:rPr>
        <w:t>Association</w:t>
      </w:r>
      <w:proofErr w:type="spellEnd"/>
      <w:r w:rsidR="00E7695A">
        <w:rPr>
          <w:sz w:val="24"/>
          <w:szCs w:val="24"/>
        </w:rPr>
        <w:t xml:space="preserve"> des </w:t>
      </w:r>
      <w:proofErr w:type="spellStart"/>
      <w:r w:rsidR="00E7695A">
        <w:rPr>
          <w:sz w:val="24"/>
          <w:szCs w:val="24"/>
        </w:rPr>
        <w:t>Journalistes</w:t>
      </w:r>
      <w:proofErr w:type="spellEnd"/>
      <w:r w:rsidR="00E7695A">
        <w:rPr>
          <w:sz w:val="24"/>
          <w:szCs w:val="24"/>
        </w:rPr>
        <w:t xml:space="preserve"> </w:t>
      </w:r>
      <w:proofErr w:type="spellStart"/>
      <w:r w:rsidR="00E7695A">
        <w:rPr>
          <w:sz w:val="24"/>
          <w:szCs w:val="24"/>
        </w:rPr>
        <w:t>Allemands</w:t>
      </w:r>
      <w:proofErr w:type="spellEnd"/>
      <w:r w:rsidR="00E7695A">
        <w:rPr>
          <w:sz w:val="24"/>
          <w:szCs w:val="24"/>
        </w:rPr>
        <w:t xml:space="preserve"> </w:t>
      </w:r>
      <w:proofErr w:type="spellStart"/>
      <w:r w:rsidR="00E7695A">
        <w:rPr>
          <w:sz w:val="24"/>
          <w:szCs w:val="24"/>
        </w:rPr>
        <w:t>Emigrés</w:t>
      </w:r>
      <w:proofErr w:type="spellEnd"/>
      <w:r w:rsidR="00E7695A">
        <w:rPr>
          <w:sz w:val="24"/>
          <w:szCs w:val="24"/>
        </w:rPr>
        <w:t>, der die ge</w:t>
      </w:r>
      <w:r w:rsidR="00E7695A">
        <w:rPr>
          <w:sz w:val="24"/>
          <w:szCs w:val="24"/>
        </w:rPr>
        <w:t>g</w:t>
      </w:r>
      <w:r w:rsidR="00E7695A">
        <w:rPr>
          <w:sz w:val="24"/>
          <w:szCs w:val="24"/>
        </w:rPr>
        <w:t>nerischen Redakteure angehören, wurden die wechselseitigen Beschuldigungen wiederholt, nämlich von Herrn Schwarzschild, die Redaktion Bernhard-</w:t>
      </w:r>
      <w:proofErr w:type="spellStart"/>
      <w:r w:rsidR="00E7695A">
        <w:rPr>
          <w:sz w:val="24"/>
          <w:szCs w:val="24"/>
        </w:rPr>
        <w:t>Caro</w:t>
      </w:r>
      <w:proofErr w:type="spellEnd"/>
      <w:r w:rsidR="00E7695A">
        <w:rPr>
          <w:sz w:val="24"/>
          <w:szCs w:val="24"/>
        </w:rPr>
        <w:t xml:space="preserve"> habe die Beschuldigungen gegen </w:t>
      </w:r>
      <w:proofErr w:type="spellStart"/>
      <w:r w:rsidR="00E7695A">
        <w:rPr>
          <w:sz w:val="24"/>
          <w:szCs w:val="24"/>
        </w:rPr>
        <w:t>Poliakoff</w:t>
      </w:r>
      <w:proofErr w:type="spellEnd"/>
      <w:r w:rsidR="00E7695A">
        <w:rPr>
          <w:sz w:val="24"/>
          <w:szCs w:val="24"/>
        </w:rPr>
        <w:t xml:space="preserve"> und </w:t>
      </w:r>
      <w:proofErr w:type="spellStart"/>
      <w:r w:rsidR="00E7695A">
        <w:rPr>
          <w:sz w:val="24"/>
          <w:szCs w:val="24"/>
        </w:rPr>
        <w:t>Lewinsohn</w:t>
      </w:r>
      <w:proofErr w:type="spellEnd"/>
      <w:r w:rsidR="00E7695A">
        <w:rPr>
          <w:sz w:val="24"/>
          <w:szCs w:val="24"/>
        </w:rPr>
        <w:t xml:space="preserve"> wider besseres Wissen und ohne Beweise zu haben erhoben, von den Herren Bernhard und </w:t>
      </w:r>
      <w:proofErr w:type="spellStart"/>
      <w:r w:rsidR="00E7695A">
        <w:rPr>
          <w:sz w:val="24"/>
          <w:szCs w:val="24"/>
        </w:rPr>
        <w:t>Caro</w:t>
      </w:r>
      <w:proofErr w:type="spellEnd"/>
      <w:r w:rsidR="00E7695A">
        <w:rPr>
          <w:sz w:val="24"/>
          <w:szCs w:val="24"/>
        </w:rPr>
        <w:t>, Schwar</w:t>
      </w:r>
      <w:r w:rsidR="00E7695A">
        <w:rPr>
          <w:sz w:val="24"/>
          <w:szCs w:val="24"/>
        </w:rPr>
        <w:t>z</w:t>
      </w:r>
      <w:r w:rsidR="00E7695A">
        <w:rPr>
          <w:sz w:val="24"/>
          <w:szCs w:val="24"/>
        </w:rPr>
        <w:t xml:space="preserve">schild erhebe diese Beschuldigungen verleumderisch und aus geschäftlichen </w:t>
      </w:r>
      <w:r w:rsidR="00E7695A">
        <w:rPr>
          <w:sz w:val="24"/>
          <w:szCs w:val="24"/>
        </w:rPr>
        <w:lastRenderedPageBreak/>
        <w:t>Gründen. Diese wech</w:t>
      </w:r>
      <w:r w:rsidR="00D734E9">
        <w:rPr>
          <w:sz w:val="24"/>
          <w:szCs w:val="24"/>
        </w:rPr>
        <w:t>sel</w:t>
      </w:r>
      <w:r w:rsidR="00E7695A">
        <w:rPr>
          <w:sz w:val="24"/>
          <w:szCs w:val="24"/>
        </w:rPr>
        <w:t>seitigen Behauptungen zu untersuchen war die Aufgabe der Kommission.“</w:t>
      </w:r>
    </w:p>
    <w:p w:rsidR="008211C8" w:rsidRPr="008211C8" w:rsidRDefault="008211C8" w:rsidP="00E41506">
      <w:pPr>
        <w:spacing w:after="0"/>
        <w:jc w:val="both"/>
        <w:rPr>
          <w:sz w:val="24"/>
          <w:szCs w:val="24"/>
        </w:rPr>
      </w:pPr>
      <w:r>
        <w:rPr>
          <w:sz w:val="24"/>
          <w:szCs w:val="24"/>
        </w:rPr>
        <w:t xml:space="preserve">Der Konflikt spaltete das politische Exil in zwei Gruppen: in eine der „Pragmatiker“, die das Vorgehen der </w:t>
      </w:r>
      <w:r>
        <w:rPr>
          <w:i/>
          <w:sz w:val="24"/>
          <w:szCs w:val="24"/>
        </w:rPr>
        <w:t>Pariser Tageblatt</w:t>
      </w:r>
      <w:r>
        <w:rPr>
          <w:sz w:val="24"/>
          <w:szCs w:val="24"/>
        </w:rPr>
        <w:t xml:space="preserve">-Redaktion im Sinne ‚höherer‘ politischer Ideale </w:t>
      </w:r>
      <w:r w:rsidR="005D7BAB">
        <w:rPr>
          <w:sz w:val="24"/>
          <w:szCs w:val="24"/>
        </w:rPr>
        <w:t>– das war in diesem Fall das Ziel, eine „Einheitsfront“ zu erlangen – billigten</w:t>
      </w:r>
      <w:r w:rsidR="003D4815">
        <w:rPr>
          <w:sz w:val="24"/>
          <w:szCs w:val="24"/>
        </w:rPr>
        <w:t>,</w:t>
      </w:r>
      <w:r w:rsidR="005D7BAB">
        <w:rPr>
          <w:sz w:val="24"/>
          <w:szCs w:val="24"/>
        </w:rPr>
        <w:t xml:space="preserve"> und in eine Gruppe der „Absoluten“ („Club der Sauberen“), die </w:t>
      </w:r>
      <w:r w:rsidR="003D4815">
        <w:rPr>
          <w:sz w:val="24"/>
          <w:szCs w:val="24"/>
        </w:rPr>
        <w:t xml:space="preserve">das Vorgehen der Redaktion aus grundsätzlichen Erwägungen ablehnten. Sie riefen </w:t>
      </w:r>
      <w:r w:rsidR="005D7BAB">
        <w:rPr>
          <w:sz w:val="24"/>
          <w:szCs w:val="24"/>
        </w:rPr>
        <w:t>anschließend eine eigene Organisation, die Liga für freie Presse und Literatur</w:t>
      </w:r>
      <w:r w:rsidR="003D4815">
        <w:rPr>
          <w:sz w:val="24"/>
          <w:szCs w:val="24"/>
        </w:rPr>
        <w:t>,</w:t>
      </w:r>
      <w:r w:rsidR="005D7BAB">
        <w:rPr>
          <w:sz w:val="24"/>
          <w:szCs w:val="24"/>
        </w:rPr>
        <w:t xml:space="preserve"> ins Leben.</w:t>
      </w:r>
      <w:r w:rsidR="005D7BAB">
        <w:rPr>
          <w:rStyle w:val="Funotenzeichen"/>
          <w:sz w:val="24"/>
          <w:szCs w:val="24"/>
        </w:rPr>
        <w:footnoteReference w:id="12"/>
      </w:r>
      <w:r w:rsidR="005D7BAB">
        <w:rPr>
          <w:sz w:val="24"/>
          <w:szCs w:val="24"/>
        </w:rPr>
        <w:t xml:space="preserve"> </w:t>
      </w:r>
    </w:p>
    <w:p w:rsidR="00E7695A" w:rsidRPr="00E7695A" w:rsidRDefault="00E7695A" w:rsidP="00E41506">
      <w:pPr>
        <w:spacing w:after="0"/>
        <w:ind w:firstLine="708"/>
        <w:jc w:val="both"/>
        <w:rPr>
          <w:sz w:val="24"/>
          <w:szCs w:val="24"/>
        </w:rPr>
      </w:pPr>
      <w:r>
        <w:rPr>
          <w:sz w:val="24"/>
          <w:szCs w:val="24"/>
        </w:rPr>
        <w:t xml:space="preserve">Nach Ausführungen über die Termine der Sitzungen und über die Zusammensetzung des Ausschusses folgt </w:t>
      </w:r>
      <w:r w:rsidR="005D7BAB">
        <w:rPr>
          <w:sz w:val="24"/>
          <w:szCs w:val="24"/>
        </w:rPr>
        <w:t xml:space="preserve">in dem </w:t>
      </w:r>
      <w:r w:rsidR="00FB626F">
        <w:rPr>
          <w:sz w:val="24"/>
          <w:szCs w:val="24"/>
        </w:rPr>
        <w:t>„</w:t>
      </w:r>
      <w:r w:rsidR="005D7BAB">
        <w:rPr>
          <w:sz w:val="24"/>
          <w:szCs w:val="24"/>
        </w:rPr>
        <w:t>Bericht</w:t>
      </w:r>
      <w:r w:rsidR="00FB626F">
        <w:rPr>
          <w:sz w:val="24"/>
          <w:szCs w:val="24"/>
        </w:rPr>
        <w:t>“</w:t>
      </w:r>
      <w:r w:rsidR="005D7BAB">
        <w:rPr>
          <w:sz w:val="24"/>
          <w:szCs w:val="24"/>
        </w:rPr>
        <w:t xml:space="preserve"> </w:t>
      </w:r>
      <w:r>
        <w:rPr>
          <w:sz w:val="24"/>
          <w:szCs w:val="24"/>
        </w:rPr>
        <w:t>d</w:t>
      </w:r>
      <w:r w:rsidR="0052506B">
        <w:rPr>
          <w:sz w:val="24"/>
          <w:szCs w:val="24"/>
        </w:rPr>
        <w:t>as</w:t>
      </w:r>
      <w:r>
        <w:rPr>
          <w:sz w:val="24"/>
          <w:szCs w:val="24"/>
        </w:rPr>
        <w:t xml:space="preserve"> </w:t>
      </w:r>
      <w:r w:rsidR="0009399F">
        <w:rPr>
          <w:sz w:val="24"/>
          <w:szCs w:val="24"/>
        </w:rPr>
        <w:t xml:space="preserve">von </w:t>
      </w:r>
      <w:r w:rsidR="00D734E9">
        <w:rPr>
          <w:sz w:val="24"/>
          <w:szCs w:val="24"/>
        </w:rPr>
        <w:t xml:space="preserve">Paul </w:t>
      </w:r>
      <w:r w:rsidR="0009399F">
        <w:rPr>
          <w:sz w:val="24"/>
          <w:szCs w:val="24"/>
        </w:rPr>
        <w:t xml:space="preserve">Dreyfus und </w:t>
      </w:r>
      <w:r w:rsidR="00D734E9">
        <w:rPr>
          <w:sz w:val="24"/>
          <w:szCs w:val="24"/>
        </w:rPr>
        <w:t xml:space="preserve">Berthold </w:t>
      </w:r>
      <w:r w:rsidR="0009399F">
        <w:rPr>
          <w:sz w:val="24"/>
          <w:szCs w:val="24"/>
        </w:rPr>
        <w:t xml:space="preserve">Jacob formulierte </w:t>
      </w:r>
      <w:r w:rsidR="0052506B">
        <w:rPr>
          <w:sz w:val="24"/>
          <w:szCs w:val="24"/>
        </w:rPr>
        <w:t>Votum</w:t>
      </w:r>
      <w:r>
        <w:rPr>
          <w:sz w:val="24"/>
          <w:szCs w:val="24"/>
        </w:rPr>
        <w:t>:</w:t>
      </w:r>
    </w:p>
    <w:p w:rsidR="008B3C63" w:rsidRDefault="00F55DF3" w:rsidP="00E41506">
      <w:pPr>
        <w:spacing w:after="0"/>
        <w:ind w:left="1134"/>
        <w:jc w:val="both"/>
        <w:rPr>
          <w:sz w:val="24"/>
          <w:szCs w:val="24"/>
        </w:rPr>
      </w:pPr>
      <w:r>
        <w:rPr>
          <w:sz w:val="24"/>
          <w:szCs w:val="24"/>
        </w:rPr>
        <w:t xml:space="preserve">„1. Es hat sich kein Anhaltspunkt dafür ergeben, dass der Verleger Wladimir </w:t>
      </w:r>
      <w:proofErr w:type="spellStart"/>
      <w:r>
        <w:rPr>
          <w:sz w:val="24"/>
          <w:szCs w:val="24"/>
        </w:rPr>
        <w:t>Pol</w:t>
      </w:r>
      <w:r>
        <w:rPr>
          <w:sz w:val="24"/>
          <w:szCs w:val="24"/>
        </w:rPr>
        <w:t>i</w:t>
      </w:r>
      <w:r>
        <w:rPr>
          <w:sz w:val="24"/>
          <w:szCs w:val="24"/>
        </w:rPr>
        <w:t>akoff</w:t>
      </w:r>
      <w:proofErr w:type="spellEnd"/>
      <w:r>
        <w:rPr>
          <w:sz w:val="24"/>
          <w:szCs w:val="24"/>
        </w:rPr>
        <w:t xml:space="preserve"> mit dem Attaché der Deutschen Botschaft Schmolz oder mit irgendeinem anderen Vertreter des Dritten Reiches über den Verkauf des </w:t>
      </w:r>
      <w:r>
        <w:rPr>
          <w:i/>
          <w:sz w:val="24"/>
          <w:szCs w:val="24"/>
        </w:rPr>
        <w:t>Pariser Tageblatt</w:t>
      </w:r>
      <w:r>
        <w:rPr>
          <w:sz w:val="24"/>
          <w:szCs w:val="24"/>
        </w:rPr>
        <w:t xml:space="preserve"> in Verhandlungen gestanden hat, dass er solche Verhandlungen anbahnte oder sich ihnen zugänglich zeigte oder dass ihm eine Neigung zu solchen Verhandlungen überhaupt zuzutrauen wäre.</w:t>
      </w:r>
    </w:p>
    <w:p w:rsidR="00F55DF3" w:rsidRDefault="00F55DF3" w:rsidP="00E41506">
      <w:pPr>
        <w:spacing w:after="0"/>
        <w:ind w:left="1134"/>
        <w:jc w:val="both"/>
        <w:rPr>
          <w:sz w:val="24"/>
          <w:szCs w:val="24"/>
        </w:rPr>
      </w:pPr>
      <w:r>
        <w:rPr>
          <w:sz w:val="24"/>
          <w:szCs w:val="24"/>
        </w:rPr>
        <w:t xml:space="preserve">2. Es hat sich kein Anhaltspunkt dafür ergeben, dass ein ernstlicher Verdacht der hiesigen Polizei gegen </w:t>
      </w:r>
      <w:proofErr w:type="spellStart"/>
      <w:r>
        <w:rPr>
          <w:sz w:val="24"/>
          <w:szCs w:val="24"/>
        </w:rPr>
        <w:t>Poliakoff</w:t>
      </w:r>
      <w:proofErr w:type="spellEnd"/>
      <w:r>
        <w:rPr>
          <w:sz w:val="24"/>
          <w:szCs w:val="24"/>
        </w:rPr>
        <w:t xml:space="preserve"> in dieser Beziehung vorhanden war. Es hat sich jedoch die Wahrscheinlichkeit ergeben, dass </w:t>
      </w:r>
      <w:proofErr w:type="spellStart"/>
      <w:r>
        <w:rPr>
          <w:sz w:val="24"/>
          <w:szCs w:val="24"/>
        </w:rPr>
        <w:t>Poliakoff</w:t>
      </w:r>
      <w:proofErr w:type="spellEnd"/>
      <w:r>
        <w:rPr>
          <w:sz w:val="24"/>
          <w:szCs w:val="24"/>
        </w:rPr>
        <w:t xml:space="preserve"> durch eine Anzeige, </w:t>
      </w:r>
      <w:r w:rsidR="005B5CE6">
        <w:rPr>
          <w:sz w:val="24"/>
          <w:szCs w:val="24"/>
        </w:rPr>
        <w:t xml:space="preserve">deren </w:t>
      </w:r>
      <w:proofErr w:type="spellStart"/>
      <w:r w:rsidR="005B5CE6">
        <w:rPr>
          <w:sz w:val="24"/>
          <w:szCs w:val="24"/>
        </w:rPr>
        <w:t>Erstatter</w:t>
      </w:r>
      <w:proofErr w:type="spellEnd"/>
      <w:r w:rsidR="005B5CE6">
        <w:rPr>
          <w:sz w:val="24"/>
          <w:szCs w:val="24"/>
        </w:rPr>
        <w:t xml:space="preserve"> nicht festzustellen war, bei der Polizei in einen derartigen Verdacht g</w:t>
      </w:r>
      <w:r w:rsidR="005B5CE6">
        <w:rPr>
          <w:sz w:val="24"/>
          <w:szCs w:val="24"/>
        </w:rPr>
        <w:t>e</w:t>
      </w:r>
      <w:r w:rsidR="005B5CE6">
        <w:rPr>
          <w:sz w:val="24"/>
          <w:szCs w:val="24"/>
        </w:rPr>
        <w:t>bracht worden ist oder werden sollte.</w:t>
      </w:r>
    </w:p>
    <w:p w:rsidR="005B5CE6" w:rsidRDefault="005B5CE6" w:rsidP="00E41506">
      <w:pPr>
        <w:spacing w:after="0"/>
        <w:ind w:left="1134"/>
        <w:jc w:val="both"/>
        <w:rPr>
          <w:sz w:val="24"/>
          <w:szCs w:val="24"/>
        </w:rPr>
      </w:pPr>
      <w:r>
        <w:rPr>
          <w:sz w:val="24"/>
          <w:szCs w:val="24"/>
        </w:rPr>
        <w:t xml:space="preserve">3. Die Redaktion des </w:t>
      </w:r>
      <w:r>
        <w:rPr>
          <w:i/>
          <w:sz w:val="24"/>
          <w:szCs w:val="24"/>
        </w:rPr>
        <w:t>Pariser Tageblatt</w:t>
      </w:r>
      <w:r>
        <w:rPr>
          <w:sz w:val="24"/>
          <w:szCs w:val="24"/>
        </w:rPr>
        <w:t xml:space="preserve">, vertreten durch Bernhard und </w:t>
      </w:r>
      <w:proofErr w:type="spellStart"/>
      <w:r>
        <w:rPr>
          <w:sz w:val="24"/>
          <w:szCs w:val="24"/>
        </w:rPr>
        <w:t>Caro</w:t>
      </w:r>
      <w:proofErr w:type="spellEnd"/>
      <w:r>
        <w:rPr>
          <w:sz w:val="24"/>
          <w:szCs w:val="24"/>
        </w:rPr>
        <w:t xml:space="preserve">, hat bei ihrem Vorgehen gegen </w:t>
      </w:r>
      <w:proofErr w:type="spellStart"/>
      <w:r>
        <w:rPr>
          <w:sz w:val="24"/>
          <w:szCs w:val="24"/>
        </w:rPr>
        <w:t>Poliakoff</w:t>
      </w:r>
      <w:proofErr w:type="spellEnd"/>
      <w:r>
        <w:rPr>
          <w:sz w:val="24"/>
          <w:szCs w:val="24"/>
        </w:rPr>
        <w:t xml:space="preserve"> nicht in gutem Glauben gehandelt. Sie hat vielmehr die Gerüchte über ihren Verleger erfunden und in die Öffentlichkeit g</w:t>
      </w:r>
      <w:r>
        <w:rPr>
          <w:sz w:val="24"/>
          <w:szCs w:val="24"/>
        </w:rPr>
        <w:t>e</w:t>
      </w:r>
      <w:r>
        <w:rPr>
          <w:sz w:val="24"/>
          <w:szCs w:val="24"/>
        </w:rPr>
        <w:t>bracht, um ihn in Verruf zu bringen, seine Zeitung unmöglich zu machen und sich des gemeinsam erworbenen Gutes allein zu bemächtigen. Sie hat aus eigennütz</w:t>
      </w:r>
      <w:r>
        <w:rPr>
          <w:sz w:val="24"/>
          <w:szCs w:val="24"/>
        </w:rPr>
        <w:t>i</w:t>
      </w:r>
      <w:r>
        <w:rPr>
          <w:sz w:val="24"/>
          <w:szCs w:val="24"/>
        </w:rPr>
        <w:t>gen Motiven eine Verleumdung durch die Presse gegangen.</w:t>
      </w:r>
    </w:p>
    <w:p w:rsidR="005B5CE6" w:rsidRDefault="005B5CE6" w:rsidP="00E41506">
      <w:pPr>
        <w:spacing w:after="0"/>
        <w:ind w:left="1134"/>
        <w:jc w:val="both"/>
        <w:rPr>
          <w:sz w:val="24"/>
          <w:szCs w:val="24"/>
        </w:rPr>
      </w:pPr>
      <w:r>
        <w:rPr>
          <w:sz w:val="24"/>
          <w:szCs w:val="24"/>
        </w:rPr>
        <w:t xml:space="preserve">4. Der Herausgeber von </w:t>
      </w:r>
      <w:r>
        <w:rPr>
          <w:i/>
          <w:sz w:val="24"/>
          <w:szCs w:val="24"/>
        </w:rPr>
        <w:t>Das Neue Tage-Buch</w:t>
      </w:r>
      <w:r w:rsidRPr="005B5CE6">
        <w:rPr>
          <w:sz w:val="24"/>
          <w:szCs w:val="24"/>
        </w:rPr>
        <w:t>, Schwarzschild, hat bei der Aufd</w:t>
      </w:r>
      <w:r w:rsidRPr="005B5CE6">
        <w:rPr>
          <w:sz w:val="24"/>
          <w:szCs w:val="24"/>
        </w:rPr>
        <w:t>e</w:t>
      </w:r>
      <w:r w:rsidRPr="005B5CE6">
        <w:rPr>
          <w:sz w:val="24"/>
          <w:szCs w:val="24"/>
        </w:rPr>
        <w:t>ckung dieses Tatbestandes in journalistischem Rechte gehandelt.</w:t>
      </w:r>
      <w:r>
        <w:rPr>
          <w:sz w:val="24"/>
          <w:szCs w:val="24"/>
        </w:rPr>
        <w:t>“</w:t>
      </w:r>
      <w:r>
        <w:rPr>
          <w:rStyle w:val="Funotenzeichen"/>
          <w:sz w:val="24"/>
          <w:szCs w:val="24"/>
        </w:rPr>
        <w:footnoteReference w:id="13"/>
      </w:r>
    </w:p>
    <w:p w:rsidR="00407D6D" w:rsidRDefault="00407D6D" w:rsidP="00E41506">
      <w:pPr>
        <w:spacing w:after="0"/>
        <w:jc w:val="both"/>
        <w:rPr>
          <w:sz w:val="24"/>
          <w:szCs w:val="24"/>
        </w:rPr>
      </w:pPr>
      <w:r>
        <w:rPr>
          <w:sz w:val="24"/>
          <w:szCs w:val="24"/>
        </w:rPr>
        <w:t xml:space="preserve">Das ist ein eindeutiger Schuldspruch gegen Georg Bernhard und Kurt </w:t>
      </w:r>
      <w:proofErr w:type="spellStart"/>
      <w:r>
        <w:rPr>
          <w:sz w:val="24"/>
          <w:szCs w:val="24"/>
        </w:rPr>
        <w:t>Caro</w:t>
      </w:r>
      <w:proofErr w:type="spellEnd"/>
      <w:r>
        <w:rPr>
          <w:sz w:val="24"/>
          <w:szCs w:val="24"/>
        </w:rPr>
        <w:t>.</w:t>
      </w:r>
      <w:r>
        <w:rPr>
          <w:rStyle w:val="Funotenzeichen"/>
          <w:sz w:val="24"/>
          <w:szCs w:val="24"/>
        </w:rPr>
        <w:footnoteReference w:id="14"/>
      </w:r>
    </w:p>
    <w:p w:rsidR="00B067D3" w:rsidRDefault="00B067D3" w:rsidP="00E41506">
      <w:pPr>
        <w:spacing w:after="0"/>
        <w:jc w:val="both"/>
        <w:rPr>
          <w:sz w:val="24"/>
          <w:szCs w:val="24"/>
        </w:rPr>
      </w:pPr>
    </w:p>
    <w:p w:rsidR="0052506B" w:rsidRDefault="0052506B" w:rsidP="00E41506">
      <w:pPr>
        <w:spacing w:after="0"/>
        <w:ind w:firstLine="708"/>
        <w:jc w:val="both"/>
        <w:rPr>
          <w:sz w:val="24"/>
          <w:szCs w:val="24"/>
        </w:rPr>
      </w:pPr>
      <w:r>
        <w:rPr>
          <w:sz w:val="24"/>
          <w:szCs w:val="24"/>
        </w:rPr>
        <w:t xml:space="preserve">Die </w:t>
      </w:r>
      <w:r>
        <w:rPr>
          <w:i/>
          <w:sz w:val="24"/>
          <w:szCs w:val="24"/>
        </w:rPr>
        <w:t>Pariser Tageblatt-</w:t>
      </w:r>
      <w:r w:rsidRPr="0052506B">
        <w:rPr>
          <w:sz w:val="24"/>
          <w:szCs w:val="24"/>
        </w:rPr>
        <w:t>Affäre</w:t>
      </w:r>
      <w:r>
        <w:rPr>
          <w:sz w:val="24"/>
          <w:szCs w:val="24"/>
        </w:rPr>
        <w:t xml:space="preserve"> entwickelte </w:t>
      </w:r>
      <w:r w:rsidR="006D2565">
        <w:rPr>
          <w:sz w:val="24"/>
          <w:szCs w:val="24"/>
        </w:rPr>
        <w:t xml:space="preserve">innerhalb des Pariser Exils eine </w:t>
      </w:r>
      <w:r w:rsidR="005D7BAB">
        <w:rPr>
          <w:sz w:val="24"/>
          <w:szCs w:val="24"/>
        </w:rPr>
        <w:t xml:space="preserve">derart </w:t>
      </w:r>
      <w:r w:rsidR="006D2565">
        <w:rPr>
          <w:sz w:val="24"/>
          <w:szCs w:val="24"/>
        </w:rPr>
        <w:t>i</w:t>
      </w:r>
      <w:r w:rsidR="006D2565">
        <w:rPr>
          <w:sz w:val="24"/>
          <w:szCs w:val="24"/>
        </w:rPr>
        <w:t>m</w:t>
      </w:r>
      <w:r w:rsidR="006D2565">
        <w:rPr>
          <w:sz w:val="24"/>
          <w:szCs w:val="24"/>
        </w:rPr>
        <w:t xml:space="preserve">mense </w:t>
      </w:r>
      <w:r>
        <w:rPr>
          <w:sz w:val="24"/>
          <w:szCs w:val="24"/>
        </w:rPr>
        <w:t xml:space="preserve">Brisanz, weil </w:t>
      </w:r>
      <w:r w:rsidR="005D7BAB">
        <w:rPr>
          <w:sz w:val="24"/>
          <w:szCs w:val="24"/>
        </w:rPr>
        <w:t>sie</w:t>
      </w:r>
      <w:r>
        <w:rPr>
          <w:sz w:val="24"/>
          <w:szCs w:val="24"/>
        </w:rPr>
        <w:t xml:space="preserve"> </w:t>
      </w:r>
      <w:r w:rsidR="005D7BAB">
        <w:rPr>
          <w:sz w:val="24"/>
          <w:szCs w:val="24"/>
        </w:rPr>
        <w:t xml:space="preserve">im Zusammenhang der Einheitsfrontpolitik sensible </w:t>
      </w:r>
      <w:r>
        <w:rPr>
          <w:sz w:val="24"/>
          <w:szCs w:val="24"/>
        </w:rPr>
        <w:t>Positionen b</w:t>
      </w:r>
      <w:r>
        <w:rPr>
          <w:sz w:val="24"/>
          <w:szCs w:val="24"/>
        </w:rPr>
        <w:t>e</w:t>
      </w:r>
      <w:r>
        <w:rPr>
          <w:sz w:val="24"/>
          <w:szCs w:val="24"/>
        </w:rPr>
        <w:t>rührte</w:t>
      </w:r>
      <w:r w:rsidR="005D7BAB">
        <w:rPr>
          <w:sz w:val="24"/>
          <w:szCs w:val="24"/>
        </w:rPr>
        <w:t xml:space="preserve">: neben </w:t>
      </w:r>
      <w:r>
        <w:rPr>
          <w:sz w:val="24"/>
          <w:szCs w:val="24"/>
        </w:rPr>
        <w:t>de</w:t>
      </w:r>
      <w:r w:rsidR="00350570">
        <w:rPr>
          <w:sz w:val="24"/>
          <w:szCs w:val="24"/>
        </w:rPr>
        <w:t>r Frage</w:t>
      </w:r>
      <w:r>
        <w:rPr>
          <w:sz w:val="24"/>
          <w:szCs w:val="24"/>
        </w:rPr>
        <w:t xml:space="preserve"> des geschäftlichen Betrugs, der politischen Verleumdung</w:t>
      </w:r>
      <w:r w:rsidR="00350570">
        <w:rPr>
          <w:sz w:val="24"/>
          <w:szCs w:val="24"/>
        </w:rPr>
        <w:t xml:space="preserve"> und</w:t>
      </w:r>
      <w:r>
        <w:rPr>
          <w:sz w:val="24"/>
          <w:szCs w:val="24"/>
        </w:rPr>
        <w:t xml:space="preserve"> der Ei</w:t>
      </w:r>
      <w:r>
        <w:rPr>
          <w:sz w:val="24"/>
          <w:szCs w:val="24"/>
        </w:rPr>
        <w:t>n</w:t>
      </w:r>
      <w:r>
        <w:rPr>
          <w:sz w:val="24"/>
          <w:szCs w:val="24"/>
        </w:rPr>
        <w:t xml:space="preserve">flussnahme </w:t>
      </w:r>
      <w:r w:rsidR="007603E6">
        <w:rPr>
          <w:sz w:val="24"/>
          <w:szCs w:val="24"/>
        </w:rPr>
        <w:t xml:space="preserve">vermutlich im Hintergrund agierender, </w:t>
      </w:r>
      <w:r>
        <w:rPr>
          <w:sz w:val="24"/>
          <w:szCs w:val="24"/>
        </w:rPr>
        <w:t xml:space="preserve">nicht zu identifizierender </w:t>
      </w:r>
      <w:r w:rsidR="006D2565">
        <w:rPr>
          <w:sz w:val="24"/>
          <w:szCs w:val="24"/>
        </w:rPr>
        <w:t xml:space="preserve">deutscher oder französischer </w:t>
      </w:r>
      <w:r>
        <w:rPr>
          <w:sz w:val="24"/>
          <w:szCs w:val="24"/>
        </w:rPr>
        <w:t xml:space="preserve">Politiker </w:t>
      </w:r>
      <w:r w:rsidR="00350570">
        <w:rPr>
          <w:sz w:val="24"/>
          <w:szCs w:val="24"/>
        </w:rPr>
        <w:t>waren das vor allem</w:t>
      </w:r>
      <w:r>
        <w:rPr>
          <w:sz w:val="24"/>
          <w:szCs w:val="24"/>
        </w:rPr>
        <w:t xml:space="preserve"> Fragen des Eigentums-, Freiheits- und Press</w:t>
      </w:r>
      <w:r>
        <w:rPr>
          <w:sz w:val="24"/>
          <w:szCs w:val="24"/>
        </w:rPr>
        <w:t>e</w:t>
      </w:r>
      <w:r>
        <w:rPr>
          <w:sz w:val="24"/>
          <w:szCs w:val="24"/>
        </w:rPr>
        <w:t>rechts in einem zukünftigen Deutschland</w:t>
      </w:r>
      <w:r w:rsidR="00B067D3">
        <w:rPr>
          <w:sz w:val="24"/>
          <w:szCs w:val="24"/>
        </w:rPr>
        <w:t xml:space="preserve"> nach </w:t>
      </w:r>
      <w:r w:rsidR="00BC1218">
        <w:rPr>
          <w:sz w:val="24"/>
          <w:szCs w:val="24"/>
        </w:rPr>
        <w:t xml:space="preserve">dem </w:t>
      </w:r>
      <w:r w:rsidR="00B067D3">
        <w:rPr>
          <w:sz w:val="24"/>
          <w:szCs w:val="24"/>
        </w:rPr>
        <w:t>Sturz des NS-Regimes</w:t>
      </w:r>
      <w:r>
        <w:rPr>
          <w:sz w:val="24"/>
          <w:szCs w:val="24"/>
        </w:rPr>
        <w:t>.</w:t>
      </w:r>
      <w:r w:rsidR="009F2924">
        <w:rPr>
          <w:sz w:val="24"/>
          <w:szCs w:val="24"/>
        </w:rPr>
        <w:t xml:space="preserve"> </w:t>
      </w:r>
      <w:r w:rsidR="00BC1218">
        <w:rPr>
          <w:sz w:val="24"/>
          <w:szCs w:val="24"/>
        </w:rPr>
        <w:t>Zusätzlich</w:t>
      </w:r>
      <w:r w:rsidR="009F2924">
        <w:rPr>
          <w:sz w:val="24"/>
          <w:szCs w:val="24"/>
        </w:rPr>
        <w:t xml:space="preserve"> berüh</w:t>
      </w:r>
      <w:r w:rsidR="009F2924">
        <w:rPr>
          <w:sz w:val="24"/>
          <w:szCs w:val="24"/>
        </w:rPr>
        <w:t>r</w:t>
      </w:r>
      <w:r w:rsidR="009F2924">
        <w:rPr>
          <w:sz w:val="24"/>
          <w:szCs w:val="24"/>
        </w:rPr>
        <w:lastRenderedPageBreak/>
        <w:t xml:space="preserve">te der Konflikt </w:t>
      </w:r>
      <w:r w:rsidR="00350570">
        <w:rPr>
          <w:sz w:val="24"/>
          <w:szCs w:val="24"/>
        </w:rPr>
        <w:t>grundlegende Probleme</w:t>
      </w:r>
      <w:r w:rsidR="009F2924">
        <w:rPr>
          <w:sz w:val="24"/>
          <w:szCs w:val="24"/>
        </w:rPr>
        <w:t xml:space="preserve"> de</w:t>
      </w:r>
      <w:r w:rsidR="00EA2324">
        <w:rPr>
          <w:sz w:val="24"/>
          <w:szCs w:val="24"/>
        </w:rPr>
        <w:t>s</w:t>
      </w:r>
      <w:r w:rsidR="009F2924">
        <w:rPr>
          <w:sz w:val="24"/>
          <w:szCs w:val="24"/>
        </w:rPr>
        <w:t xml:space="preserve"> Sta</w:t>
      </w:r>
      <w:r w:rsidR="00691777">
        <w:rPr>
          <w:sz w:val="24"/>
          <w:szCs w:val="24"/>
        </w:rPr>
        <w:t>n</w:t>
      </w:r>
      <w:r w:rsidR="009F2924">
        <w:rPr>
          <w:sz w:val="24"/>
          <w:szCs w:val="24"/>
        </w:rPr>
        <w:t>desethos</w:t>
      </w:r>
      <w:r w:rsidR="00350570">
        <w:rPr>
          <w:sz w:val="24"/>
          <w:szCs w:val="24"/>
        </w:rPr>
        <w:t xml:space="preserve">, </w:t>
      </w:r>
      <w:r w:rsidR="009F2924">
        <w:rPr>
          <w:sz w:val="24"/>
          <w:szCs w:val="24"/>
        </w:rPr>
        <w:t xml:space="preserve">der persönlichen Integrität und </w:t>
      </w:r>
      <w:r w:rsidR="00BC1218">
        <w:rPr>
          <w:sz w:val="24"/>
          <w:szCs w:val="24"/>
        </w:rPr>
        <w:t xml:space="preserve">der </w:t>
      </w:r>
      <w:r w:rsidR="00350570">
        <w:rPr>
          <w:sz w:val="24"/>
          <w:szCs w:val="24"/>
        </w:rPr>
        <w:t xml:space="preserve">politischen </w:t>
      </w:r>
      <w:r w:rsidR="009F2924">
        <w:rPr>
          <w:sz w:val="24"/>
          <w:szCs w:val="24"/>
        </w:rPr>
        <w:t>Glaubwürdigkeit.</w:t>
      </w:r>
    </w:p>
    <w:p w:rsidR="00613AE5" w:rsidRDefault="009F2924" w:rsidP="00E41506">
      <w:pPr>
        <w:spacing w:after="0"/>
        <w:jc w:val="both"/>
        <w:rPr>
          <w:sz w:val="24"/>
          <w:szCs w:val="24"/>
        </w:rPr>
      </w:pPr>
      <w:r>
        <w:rPr>
          <w:sz w:val="24"/>
          <w:szCs w:val="24"/>
        </w:rPr>
        <w:tab/>
      </w:r>
      <w:r w:rsidR="00350570">
        <w:rPr>
          <w:sz w:val="24"/>
          <w:szCs w:val="24"/>
        </w:rPr>
        <w:t xml:space="preserve">Über den Ausgangspunkt der Affäre bestand </w:t>
      </w:r>
      <w:r w:rsidR="00BC1218">
        <w:rPr>
          <w:sz w:val="24"/>
          <w:szCs w:val="24"/>
        </w:rPr>
        <w:t xml:space="preserve">in der Untersuchungskommission </w:t>
      </w:r>
      <w:r w:rsidR="00350570">
        <w:rPr>
          <w:sz w:val="24"/>
          <w:szCs w:val="24"/>
        </w:rPr>
        <w:t xml:space="preserve">mehr oder weniger Übereinstimmung. </w:t>
      </w:r>
      <w:r>
        <w:rPr>
          <w:sz w:val="24"/>
          <w:szCs w:val="24"/>
        </w:rPr>
        <w:t xml:space="preserve">Das </w:t>
      </w:r>
      <w:r>
        <w:rPr>
          <w:i/>
          <w:sz w:val="24"/>
          <w:szCs w:val="24"/>
        </w:rPr>
        <w:t>Pariser Tageblatt</w:t>
      </w:r>
      <w:r>
        <w:rPr>
          <w:sz w:val="24"/>
          <w:szCs w:val="24"/>
        </w:rPr>
        <w:t xml:space="preserve"> war durch den Chefredakteur und die Redakt</w:t>
      </w:r>
      <w:r w:rsidR="00BC1218">
        <w:rPr>
          <w:sz w:val="24"/>
          <w:szCs w:val="24"/>
        </w:rPr>
        <w:t>ion</w:t>
      </w:r>
      <w:r>
        <w:rPr>
          <w:sz w:val="24"/>
          <w:szCs w:val="24"/>
        </w:rPr>
        <w:t xml:space="preserve"> dem Verleger </w:t>
      </w:r>
      <w:r w:rsidR="00B067D3">
        <w:rPr>
          <w:sz w:val="24"/>
          <w:szCs w:val="24"/>
        </w:rPr>
        <w:t xml:space="preserve">Waldimir </w:t>
      </w:r>
      <w:proofErr w:type="spellStart"/>
      <w:r w:rsidR="00B067D3">
        <w:rPr>
          <w:sz w:val="24"/>
          <w:szCs w:val="24"/>
        </w:rPr>
        <w:t>Poliakoff</w:t>
      </w:r>
      <w:proofErr w:type="spellEnd"/>
      <w:r w:rsidR="00B067D3">
        <w:rPr>
          <w:sz w:val="24"/>
          <w:szCs w:val="24"/>
        </w:rPr>
        <w:t xml:space="preserve"> </w:t>
      </w:r>
      <w:r>
        <w:rPr>
          <w:sz w:val="24"/>
          <w:szCs w:val="24"/>
        </w:rPr>
        <w:t xml:space="preserve">– </w:t>
      </w:r>
      <w:r w:rsidR="00B067D3">
        <w:rPr>
          <w:sz w:val="24"/>
          <w:szCs w:val="24"/>
        </w:rPr>
        <w:t>also</w:t>
      </w:r>
      <w:r>
        <w:rPr>
          <w:sz w:val="24"/>
          <w:szCs w:val="24"/>
        </w:rPr>
        <w:t xml:space="preserve"> dem </w:t>
      </w:r>
      <w:r w:rsidRPr="00B067D3">
        <w:rPr>
          <w:i/>
          <w:sz w:val="24"/>
          <w:szCs w:val="24"/>
        </w:rPr>
        <w:t>Besitzer</w:t>
      </w:r>
      <w:r w:rsidR="00B067D3" w:rsidRPr="00B067D3">
        <w:rPr>
          <w:i/>
          <w:sz w:val="24"/>
          <w:szCs w:val="24"/>
        </w:rPr>
        <w:t xml:space="preserve"> </w:t>
      </w:r>
      <w:r w:rsidR="00B067D3" w:rsidRPr="007603E6">
        <w:rPr>
          <w:sz w:val="24"/>
          <w:szCs w:val="24"/>
        </w:rPr>
        <w:t>der Zeitung</w:t>
      </w:r>
      <w:r>
        <w:rPr>
          <w:sz w:val="24"/>
          <w:szCs w:val="24"/>
        </w:rPr>
        <w:t>, der als Geldg</w:t>
      </w:r>
      <w:r>
        <w:rPr>
          <w:sz w:val="24"/>
          <w:szCs w:val="24"/>
        </w:rPr>
        <w:t>e</w:t>
      </w:r>
      <w:r>
        <w:rPr>
          <w:sz w:val="24"/>
          <w:szCs w:val="24"/>
        </w:rPr>
        <w:t>ber das Projekt überhaupt erst ermöglicht hatte</w:t>
      </w:r>
      <w:r w:rsidR="00B067D3">
        <w:rPr>
          <w:rStyle w:val="Funotenzeichen"/>
          <w:sz w:val="24"/>
          <w:szCs w:val="24"/>
        </w:rPr>
        <w:footnoteReference w:id="15"/>
      </w:r>
      <w:r>
        <w:rPr>
          <w:sz w:val="24"/>
          <w:szCs w:val="24"/>
        </w:rPr>
        <w:t xml:space="preserve"> – entwendet worden. D</w:t>
      </w:r>
      <w:r w:rsidR="007603E6">
        <w:rPr>
          <w:sz w:val="24"/>
          <w:szCs w:val="24"/>
        </w:rPr>
        <w:t>ie</w:t>
      </w:r>
      <w:r>
        <w:rPr>
          <w:sz w:val="24"/>
          <w:szCs w:val="24"/>
        </w:rPr>
        <w:t xml:space="preserve"> Akteure </w:t>
      </w:r>
      <w:r w:rsidR="007603E6">
        <w:rPr>
          <w:sz w:val="24"/>
          <w:szCs w:val="24"/>
        </w:rPr>
        <w:t>brachten als Grund für ihr Agieren vor</w:t>
      </w:r>
      <w:r>
        <w:rPr>
          <w:sz w:val="24"/>
          <w:szCs w:val="24"/>
        </w:rPr>
        <w:t xml:space="preserve">, dass man das </w:t>
      </w:r>
      <w:r>
        <w:rPr>
          <w:i/>
          <w:sz w:val="24"/>
          <w:szCs w:val="24"/>
        </w:rPr>
        <w:t>Tageblatt</w:t>
      </w:r>
      <w:r>
        <w:rPr>
          <w:sz w:val="24"/>
          <w:szCs w:val="24"/>
        </w:rPr>
        <w:t xml:space="preserve"> als </w:t>
      </w:r>
      <w:r w:rsidR="00BC1218">
        <w:rPr>
          <w:sz w:val="24"/>
          <w:szCs w:val="24"/>
        </w:rPr>
        <w:t>„</w:t>
      </w:r>
      <w:r>
        <w:rPr>
          <w:sz w:val="24"/>
          <w:szCs w:val="24"/>
        </w:rPr>
        <w:t>Sprachrohr der Volksfront“</w:t>
      </w:r>
      <w:r w:rsidR="00BC1218">
        <w:rPr>
          <w:sz w:val="24"/>
          <w:szCs w:val="24"/>
        </w:rPr>
        <w:t xml:space="preserve"> habe </w:t>
      </w:r>
      <w:r>
        <w:rPr>
          <w:sz w:val="24"/>
          <w:szCs w:val="24"/>
        </w:rPr>
        <w:t>schützen wolle</w:t>
      </w:r>
      <w:r w:rsidR="00BC1218">
        <w:rPr>
          <w:sz w:val="24"/>
          <w:szCs w:val="24"/>
        </w:rPr>
        <w:t>n</w:t>
      </w:r>
      <w:r>
        <w:rPr>
          <w:sz w:val="24"/>
          <w:szCs w:val="24"/>
        </w:rPr>
        <w:t xml:space="preserve">. Das war kein überzeugendes Argument, denn der im Falle einer Entlassung Georg Bernhards </w:t>
      </w:r>
      <w:r w:rsidR="00350570">
        <w:rPr>
          <w:sz w:val="24"/>
          <w:szCs w:val="24"/>
        </w:rPr>
        <w:t>– diese Entlassung war aber keineswegs ausgesprochen worden</w:t>
      </w:r>
      <w:r w:rsidR="00BC1218">
        <w:rPr>
          <w:sz w:val="24"/>
          <w:szCs w:val="24"/>
        </w:rPr>
        <w:t>; die B</w:t>
      </w:r>
      <w:r w:rsidR="00BC1218">
        <w:rPr>
          <w:sz w:val="24"/>
          <w:szCs w:val="24"/>
        </w:rPr>
        <w:t>e</w:t>
      </w:r>
      <w:r w:rsidR="00BC1218">
        <w:rPr>
          <w:sz w:val="24"/>
          <w:szCs w:val="24"/>
        </w:rPr>
        <w:t>hauptung beruhte vielmehr auf einer Unterstellung bzw. einer entsprechenden Annahme</w:t>
      </w:r>
      <w:r w:rsidR="00350570">
        <w:rPr>
          <w:sz w:val="24"/>
          <w:szCs w:val="24"/>
        </w:rPr>
        <w:t xml:space="preserve"> – wäre </w:t>
      </w:r>
      <w:r w:rsidR="00BC1218">
        <w:rPr>
          <w:sz w:val="24"/>
          <w:szCs w:val="24"/>
        </w:rPr>
        <w:t xml:space="preserve">der </w:t>
      </w:r>
      <w:r>
        <w:rPr>
          <w:sz w:val="24"/>
          <w:szCs w:val="24"/>
        </w:rPr>
        <w:t xml:space="preserve">neue, vom Verleger designierte Chefredakteur Richard </w:t>
      </w:r>
      <w:proofErr w:type="spellStart"/>
      <w:r>
        <w:rPr>
          <w:sz w:val="24"/>
          <w:szCs w:val="24"/>
        </w:rPr>
        <w:t>Lewinsohn</w:t>
      </w:r>
      <w:proofErr w:type="spellEnd"/>
      <w:r>
        <w:rPr>
          <w:sz w:val="24"/>
          <w:szCs w:val="24"/>
        </w:rPr>
        <w:t xml:space="preserve"> (</w:t>
      </w:r>
      <w:proofErr w:type="spellStart"/>
      <w:r>
        <w:rPr>
          <w:sz w:val="24"/>
          <w:szCs w:val="24"/>
        </w:rPr>
        <w:t>Pseud</w:t>
      </w:r>
      <w:proofErr w:type="spellEnd"/>
      <w:r>
        <w:rPr>
          <w:sz w:val="24"/>
          <w:szCs w:val="24"/>
        </w:rPr>
        <w:t xml:space="preserve">. </w:t>
      </w:r>
      <w:proofErr w:type="spellStart"/>
      <w:r>
        <w:rPr>
          <w:sz w:val="24"/>
          <w:szCs w:val="24"/>
        </w:rPr>
        <w:t>Morus</w:t>
      </w:r>
      <w:proofErr w:type="spellEnd"/>
      <w:r>
        <w:rPr>
          <w:sz w:val="24"/>
          <w:szCs w:val="24"/>
        </w:rPr>
        <w:t>)</w:t>
      </w:r>
      <w:r w:rsidR="00F304D3">
        <w:rPr>
          <w:sz w:val="24"/>
          <w:szCs w:val="24"/>
        </w:rPr>
        <w:t xml:space="preserve"> gewesen</w:t>
      </w:r>
      <w:r>
        <w:rPr>
          <w:sz w:val="24"/>
          <w:szCs w:val="24"/>
        </w:rPr>
        <w:t>,</w:t>
      </w:r>
      <w:r w:rsidR="00F304D3">
        <w:rPr>
          <w:rStyle w:val="Funotenzeichen"/>
          <w:sz w:val="24"/>
          <w:szCs w:val="24"/>
        </w:rPr>
        <w:footnoteReference w:id="16"/>
      </w:r>
      <w:r>
        <w:rPr>
          <w:sz w:val="24"/>
          <w:szCs w:val="24"/>
        </w:rPr>
        <w:t xml:space="preserve"> ein gut beleumdeter, liberaler Journalist, ehemals Chefredakteur des Wirtschaft</w:t>
      </w:r>
      <w:r>
        <w:rPr>
          <w:sz w:val="24"/>
          <w:szCs w:val="24"/>
        </w:rPr>
        <w:t>s</w:t>
      </w:r>
      <w:r>
        <w:rPr>
          <w:sz w:val="24"/>
          <w:szCs w:val="24"/>
        </w:rPr>
        <w:t xml:space="preserve">teils der </w:t>
      </w:r>
      <w:r>
        <w:rPr>
          <w:i/>
          <w:sz w:val="24"/>
          <w:szCs w:val="24"/>
        </w:rPr>
        <w:t>Vossischen Zeitung</w:t>
      </w:r>
      <w:r>
        <w:rPr>
          <w:sz w:val="24"/>
          <w:szCs w:val="24"/>
        </w:rPr>
        <w:t xml:space="preserve">, also der Zeitung, deren Gesamtchefredakteur </w:t>
      </w:r>
      <w:r w:rsidR="00F304D3">
        <w:rPr>
          <w:sz w:val="24"/>
          <w:szCs w:val="24"/>
        </w:rPr>
        <w:t xml:space="preserve">bis 1930 </w:t>
      </w:r>
      <w:r>
        <w:rPr>
          <w:sz w:val="24"/>
          <w:szCs w:val="24"/>
        </w:rPr>
        <w:t>Georg Bernhard gewesen war.</w:t>
      </w:r>
      <w:r w:rsidR="003934A9">
        <w:rPr>
          <w:sz w:val="24"/>
          <w:szCs w:val="24"/>
        </w:rPr>
        <w:t xml:space="preserve"> Warum sollte </w:t>
      </w:r>
      <w:proofErr w:type="spellStart"/>
      <w:r w:rsidR="003934A9">
        <w:rPr>
          <w:sz w:val="24"/>
          <w:szCs w:val="24"/>
        </w:rPr>
        <w:t>Lewinsohn-Morus</w:t>
      </w:r>
      <w:proofErr w:type="spellEnd"/>
      <w:r w:rsidR="003934A9">
        <w:rPr>
          <w:sz w:val="24"/>
          <w:szCs w:val="24"/>
        </w:rPr>
        <w:t xml:space="preserve"> eine politische Kursänderung vol</w:t>
      </w:r>
      <w:r w:rsidR="003934A9">
        <w:rPr>
          <w:sz w:val="24"/>
          <w:szCs w:val="24"/>
        </w:rPr>
        <w:t>l</w:t>
      </w:r>
      <w:r w:rsidR="003934A9">
        <w:rPr>
          <w:sz w:val="24"/>
          <w:szCs w:val="24"/>
        </w:rPr>
        <w:t>ziehen</w:t>
      </w:r>
      <w:r w:rsidR="009E5797">
        <w:rPr>
          <w:sz w:val="24"/>
          <w:szCs w:val="24"/>
        </w:rPr>
        <w:t>, geschweige denn Beihilfe zu einer Auslieferung der Zeitung an die Nationalsoziali</w:t>
      </w:r>
      <w:r w:rsidR="009E5797">
        <w:rPr>
          <w:sz w:val="24"/>
          <w:szCs w:val="24"/>
        </w:rPr>
        <w:t>s</w:t>
      </w:r>
      <w:r w:rsidR="009E5797">
        <w:rPr>
          <w:sz w:val="24"/>
          <w:szCs w:val="24"/>
        </w:rPr>
        <w:t>ten leisten</w:t>
      </w:r>
      <w:r w:rsidR="003934A9">
        <w:rPr>
          <w:sz w:val="24"/>
          <w:szCs w:val="24"/>
        </w:rPr>
        <w:t>? Er sollte, so der Wille des Verlegers,</w:t>
      </w:r>
      <w:r w:rsidR="00012515">
        <w:rPr>
          <w:rStyle w:val="Funotenzeichen"/>
          <w:sz w:val="24"/>
          <w:szCs w:val="24"/>
        </w:rPr>
        <w:footnoteReference w:id="17"/>
      </w:r>
      <w:r w:rsidR="003934A9">
        <w:rPr>
          <w:sz w:val="24"/>
          <w:szCs w:val="24"/>
        </w:rPr>
        <w:t xml:space="preserve"> vielmehr ein </w:t>
      </w:r>
      <w:r w:rsidR="003934A9" w:rsidRPr="003934A9">
        <w:rPr>
          <w:i/>
          <w:sz w:val="24"/>
          <w:szCs w:val="24"/>
        </w:rPr>
        <w:t xml:space="preserve">besser </w:t>
      </w:r>
      <w:r w:rsidR="003934A9">
        <w:rPr>
          <w:sz w:val="24"/>
          <w:szCs w:val="24"/>
        </w:rPr>
        <w:t xml:space="preserve">redigiertes Blatt </w:t>
      </w:r>
      <w:r w:rsidR="006D2565">
        <w:rPr>
          <w:sz w:val="24"/>
          <w:szCs w:val="24"/>
        </w:rPr>
        <w:t>h</w:t>
      </w:r>
      <w:r w:rsidR="003934A9">
        <w:rPr>
          <w:sz w:val="24"/>
          <w:szCs w:val="24"/>
        </w:rPr>
        <w:t>e</w:t>
      </w:r>
      <w:r w:rsidR="003934A9">
        <w:rPr>
          <w:sz w:val="24"/>
          <w:szCs w:val="24"/>
        </w:rPr>
        <w:t>r</w:t>
      </w:r>
      <w:r w:rsidR="003934A9">
        <w:rPr>
          <w:sz w:val="24"/>
          <w:szCs w:val="24"/>
        </w:rPr>
        <w:t>stellen.</w:t>
      </w:r>
      <w:r w:rsidR="003934A9">
        <w:rPr>
          <w:rStyle w:val="Funotenzeichen"/>
          <w:sz w:val="24"/>
          <w:szCs w:val="24"/>
        </w:rPr>
        <w:footnoteReference w:id="18"/>
      </w:r>
      <w:r w:rsidR="003934A9">
        <w:rPr>
          <w:sz w:val="24"/>
          <w:szCs w:val="24"/>
        </w:rPr>
        <w:t xml:space="preserve"> </w:t>
      </w:r>
    </w:p>
    <w:p w:rsidR="009F2924" w:rsidRDefault="00E802FB" w:rsidP="00E41506">
      <w:pPr>
        <w:spacing w:after="0"/>
        <w:ind w:firstLine="708"/>
        <w:jc w:val="both"/>
        <w:rPr>
          <w:sz w:val="24"/>
          <w:szCs w:val="24"/>
        </w:rPr>
      </w:pPr>
      <w:r>
        <w:rPr>
          <w:sz w:val="24"/>
          <w:szCs w:val="24"/>
        </w:rPr>
        <w:t>U</w:t>
      </w:r>
      <w:r w:rsidR="006D2565">
        <w:rPr>
          <w:sz w:val="24"/>
          <w:szCs w:val="24"/>
        </w:rPr>
        <w:t>nausgesprochen</w:t>
      </w:r>
      <w:r w:rsidR="003934A9">
        <w:rPr>
          <w:sz w:val="24"/>
          <w:szCs w:val="24"/>
        </w:rPr>
        <w:t xml:space="preserve"> verb</w:t>
      </w:r>
      <w:r w:rsidR="00FC3928">
        <w:rPr>
          <w:sz w:val="24"/>
          <w:szCs w:val="24"/>
        </w:rPr>
        <w:t>i</w:t>
      </w:r>
      <w:r w:rsidR="003934A9">
        <w:rPr>
          <w:sz w:val="24"/>
          <w:szCs w:val="24"/>
        </w:rPr>
        <w:t>rg</w:t>
      </w:r>
      <w:r w:rsidR="00FC3928">
        <w:rPr>
          <w:sz w:val="24"/>
          <w:szCs w:val="24"/>
        </w:rPr>
        <w:t>t</w:t>
      </w:r>
      <w:r w:rsidR="003934A9">
        <w:rPr>
          <w:sz w:val="24"/>
          <w:szCs w:val="24"/>
        </w:rPr>
        <w:t xml:space="preserve"> sich hinter dem Argument</w:t>
      </w:r>
      <w:r w:rsidR="007417E8">
        <w:rPr>
          <w:sz w:val="24"/>
          <w:szCs w:val="24"/>
        </w:rPr>
        <w:t xml:space="preserve">, </w:t>
      </w:r>
      <w:r w:rsidR="00295372">
        <w:rPr>
          <w:sz w:val="24"/>
          <w:szCs w:val="24"/>
        </w:rPr>
        <w:t xml:space="preserve">nur </w:t>
      </w:r>
      <w:r w:rsidR="007417E8">
        <w:rPr>
          <w:sz w:val="24"/>
          <w:szCs w:val="24"/>
        </w:rPr>
        <w:t xml:space="preserve">durch die Übernahme </w:t>
      </w:r>
      <w:r w:rsidR="00BC1218">
        <w:rPr>
          <w:sz w:val="24"/>
          <w:szCs w:val="24"/>
        </w:rPr>
        <w:t>der</w:t>
      </w:r>
      <w:r w:rsidR="007417E8">
        <w:rPr>
          <w:sz w:val="24"/>
          <w:szCs w:val="24"/>
        </w:rPr>
        <w:t xml:space="preserve"> Zeitung sei eine</w:t>
      </w:r>
      <w:r w:rsidR="00BC1218">
        <w:rPr>
          <w:sz w:val="24"/>
          <w:szCs w:val="24"/>
        </w:rPr>
        <w:t xml:space="preserve"> „Kursänderung“ </w:t>
      </w:r>
      <w:r w:rsidR="007417E8">
        <w:rPr>
          <w:sz w:val="24"/>
          <w:szCs w:val="24"/>
        </w:rPr>
        <w:t xml:space="preserve">abgewendet worden, </w:t>
      </w:r>
      <w:r w:rsidR="003934A9">
        <w:rPr>
          <w:sz w:val="24"/>
          <w:szCs w:val="24"/>
        </w:rPr>
        <w:t>de</w:t>
      </w:r>
      <w:r w:rsidR="00613AE5">
        <w:rPr>
          <w:sz w:val="24"/>
          <w:szCs w:val="24"/>
        </w:rPr>
        <w:t>r</w:t>
      </w:r>
      <w:r w:rsidR="003934A9">
        <w:rPr>
          <w:sz w:val="24"/>
          <w:szCs w:val="24"/>
        </w:rPr>
        <w:t xml:space="preserve"> </w:t>
      </w:r>
      <w:r w:rsidR="00613AE5">
        <w:rPr>
          <w:sz w:val="24"/>
          <w:szCs w:val="24"/>
        </w:rPr>
        <w:t>Anspruch</w:t>
      </w:r>
      <w:r w:rsidR="006D2565">
        <w:rPr>
          <w:sz w:val="24"/>
          <w:szCs w:val="24"/>
        </w:rPr>
        <w:t xml:space="preserve"> der Redaktion</w:t>
      </w:r>
      <w:r w:rsidR="003934A9">
        <w:rPr>
          <w:sz w:val="24"/>
          <w:szCs w:val="24"/>
        </w:rPr>
        <w:t xml:space="preserve">, </w:t>
      </w:r>
      <w:r w:rsidR="00FC3928">
        <w:rPr>
          <w:sz w:val="24"/>
          <w:szCs w:val="24"/>
        </w:rPr>
        <w:t xml:space="preserve">wenn </w:t>
      </w:r>
      <w:r w:rsidR="007603E6">
        <w:rPr>
          <w:sz w:val="24"/>
          <w:szCs w:val="24"/>
        </w:rPr>
        <w:t xml:space="preserve">auch </w:t>
      </w:r>
      <w:r w:rsidR="00FC3928">
        <w:rPr>
          <w:sz w:val="24"/>
          <w:szCs w:val="24"/>
        </w:rPr>
        <w:t xml:space="preserve">nicht rechtlich, so doch </w:t>
      </w:r>
      <w:r w:rsidR="00FC3928" w:rsidRPr="00FC3928">
        <w:rPr>
          <w:i/>
          <w:sz w:val="24"/>
          <w:szCs w:val="24"/>
        </w:rPr>
        <w:t>politisch-ideell</w:t>
      </w:r>
      <w:r w:rsidR="00FC3928">
        <w:rPr>
          <w:sz w:val="24"/>
          <w:szCs w:val="24"/>
        </w:rPr>
        <w:t xml:space="preserve"> </w:t>
      </w:r>
      <w:r w:rsidR="007603E6">
        <w:rPr>
          <w:sz w:val="24"/>
          <w:szCs w:val="24"/>
        </w:rPr>
        <w:t>der ‚Eigentüm</w:t>
      </w:r>
      <w:r w:rsidR="00FC3928">
        <w:rPr>
          <w:sz w:val="24"/>
          <w:szCs w:val="24"/>
        </w:rPr>
        <w:t>er</w:t>
      </w:r>
      <w:r w:rsidR="007603E6">
        <w:rPr>
          <w:sz w:val="24"/>
          <w:szCs w:val="24"/>
        </w:rPr>
        <w:t>‘</w:t>
      </w:r>
      <w:r w:rsidR="00FC3928">
        <w:rPr>
          <w:sz w:val="24"/>
          <w:szCs w:val="24"/>
        </w:rPr>
        <w:t xml:space="preserve"> des </w:t>
      </w:r>
      <w:r w:rsidR="00FC3928">
        <w:rPr>
          <w:i/>
          <w:sz w:val="24"/>
          <w:szCs w:val="24"/>
        </w:rPr>
        <w:t xml:space="preserve">Pariser Tageblatts </w:t>
      </w:r>
      <w:r w:rsidR="00FC3928">
        <w:rPr>
          <w:sz w:val="24"/>
          <w:szCs w:val="24"/>
        </w:rPr>
        <w:t xml:space="preserve">zu sein. </w:t>
      </w:r>
      <w:r>
        <w:rPr>
          <w:sz w:val="24"/>
          <w:szCs w:val="24"/>
        </w:rPr>
        <w:t>Auf jede</w:t>
      </w:r>
      <w:r w:rsidR="007603E6">
        <w:rPr>
          <w:sz w:val="24"/>
          <w:szCs w:val="24"/>
        </w:rPr>
        <w:t>n</w:t>
      </w:r>
      <w:r>
        <w:rPr>
          <w:sz w:val="24"/>
          <w:szCs w:val="24"/>
        </w:rPr>
        <w:t xml:space="preserve"> Fall </w:t>
      </w:r>
      <w:r w:rsidR="00FC3928">
        <w:rPr>
          <w:sz w:val="24"/>
          <w:szCs w:val="24"/>
        </w:rPr>
        <w:t>veranschlagt</w:t>
      </w:r>
      <w:r>
        <w:rPr>
          <w:sz w:val="24"/>
          <w:szCs w:val="24"/>
        </w:rPr>
        <w:t xml:space="preserve">e </w:t>
      </w:r>
      <w:r w:rsidR="00FC3928">
        <w:rPr>
          <w:sz w:val="24"/>
          <w:szCs w:val="24"/>
        </w:rPr>
        <w:t xml:space="preserve">man </w:t>
      </w:r>
      <w:r>
        <w:rPr>
          <w:sz w:val="24"/>
          <w:szCs w:val="24"/>
        </w:rPr>
        <w:t>d</w:t>
      </w:r>
      <w:r w:rsidR="00C62208">
        <w:rPr>
          <w:sz w:val="24"/>
          <w:szCs w:val="24"/>
        </w:rPr>
        <w:t xml:space="preserve">as </w:t>
      </w:r>
      <w:r w:rsidR="007603E6">
        <w:rPr>
          <w:sz w:val="24"/>
          <w:szCs w:val="24"/>
        </w:rPr>
        <w:t>‚</w:t>
      </w:r>
      <w:r w:rsidR="00C62208">
        <w:rPr>
          <w:sz w:val="24"/>
          <w:szCs w:val="24"/>
        </w:rPr>
        <w:t xml:space="preserve">journalistische </w:t>
      </w:r>
      <w:r w:rsidR="007603E6">
        <w:rPr>
          <w:sz w:val="24"/>
          <w:szCs w:val="24"/>
        </w:rPr>
        <w:t>Besitzr</w:t>
      </w:r>
      <w:r w:rsidR="00C62208">
        <w:rPr>
          <w:sz w:val="24"/>
          <w:szCs w:val="24"/>
        </w:rPr>
        <w:t>echt</w:t>
      </w:r>
      <w:r w:rsidR="007603E6">
        <w:rPr>
          <w:sz w:val="24"/>
          <w:szCs w:val="24"/>
        </w:rPr>
        <w:t>‘</w:t>
      </w:r>
      <w:r w:rsidR="00C62208">
        <w:rPr>
          <w:sz w:val="24"/>
          <w:szCs w:val="24"/>
        </w:rPr>
        <w:t xml:space="preserve"> </w:t>
      </w:r>
      <w:r w:rsidR="00BC1218">
        <w:rPr>
          <w:sz w:val="24"/>
          <w:szCs w:val="24"/>
        </w:rPr>
        <w:t>höher</w:t>
      </w:r>
      <w:r w:rsidR="00C62208">
        <w:rPr>
          <w:sz w:val="24"/>
          <w:szCs w:val="24"/>
        </w:rPr>
        <w:t xml:space="preserve"> </w:t>
      </w:r>
      <w:r w:rsidR="00BC1218">
        <w:rPr>
          <w:sz w:val="24"/>
          <w:szCs w:val="24"/>
        </w:rPr>
        <w:t>als das Eigentum</w:t>
      </w:r>
      <w:r w:rsidR="00BC1218">
        <w:rPr>
          <w:sz w:val="24"/>
          <w:szCs w:val="24"/>
        </w:rPr>
        <w:t>s</w:t>
      </w:r>
      <w:r w:rsidR="00BC1218">
        <w:rPr>
          <w:sz w:val="24"/>
          <w:szCs w:val="24"/>
        </w:rPr>
        <w:t>recht</w:t>
      </w:r>
      <w:r w:rsidR="00FC3928">
        <w:rPr>
          <w:sz w:val="24"/>
          <w:szCs w:val="24"/>
        </w:rPr>
        <w:t>.</w:t>
      </w:r>
      <w:r w:rsidR="003934A9">
        <w:rPr>
          <w:sz w:val="24"/>
          <w:szCs w:val="24"/>
        </w:rPr>
        <w:t xml:space="preserve"> </w:t>
      </w:r>
      <w:r w:rsidR="00FC3928">
        <w:rPr>
          <w:sz w:val="24"/>
          <w:szCs w:val="24"/>
        </w:rPr>
        <w:t xml:space="preserve">Das aber ließ mit Blick auf die Presseordnung in einem künftigen deutschen Staat Schlimmes erwarten, und zwar sowohl in Hinblick auf die Eigentumsrechte als auch auf die Meinungs- und Pressefreiheit. Wäre es nur darum gegangen, eine </w:t>
      </w:r>
      <w:r w:rsidR="00295372">
        <w:rPr>
          <w:sz w:val="24"/>
          <w:szCs w:val="24"/>
        </w:rPr>
        <w:t>„drohende Gefahr“ abz</w:t>
      </w:r>
      <w:r w:rsidR="00295372">
        <w:rPr>
          <w:sz w:val="24"/>
          <w:szCs w:val="24"/>
        </w:rPr>
        <w:t>u</w:t>
      </w:r>
      <w:r w:rsidR="00295372">
        <w:rPr>
          <w:sz w:val="24"/>
          <w:szCs w:val="24"/>
        </w:rPr>
        <w:t>wenden, h</w:t>
      </w:r>
      <w:r w:rsidR="00C62208">
        <w:rPr>
          <w:sz w:val="24"/>
          <w:szCs w:val="24"/>
        </w:rPr>
        <w:t>ätte</w:t>
      </w:r>
      <w:r w:rsidR="00295372">
        <w:rPr>
          <w:sz w:val="24"/>
          <w:szCs w:val="24"/>
        </w:rPr>
        <w:t>n</w:t>
      </w:r>
      <w:r w:rsidR="00295372" w:rsidRPr="00295372">
        <w:rPr>
          <w:sz w:val="24"/>
          <w:szCs w:val="24"/>
        </w:rPr>
        <w:t xml:space="preserve"> </w:t>
      </w:r>
      <w:r w:rsidR="00295372">
        <w:rPr>
          <w:sz w:val="24"/>
          <w:szCs w:val="24"/>
        </w:rPr>
        <w:t xml:space="preserve">der Redaktion, wie der </w:t>
      </w:r>
      <w:r w:rsidR="007603E6">
        <w:rPr>
          <w:sz w:val="24"/>
          <w:szCs w:val="24"/>
        </w:rPr>
        <w:t>„</w:t>
      </w:r>
      <w:r w:rsidR="00295372">
        <w:rPr>
          <w:sz w:val="24"/>
          <w:szCs w:val="24"/>
        </w:rPr>
        <w:t>Bericht</w:t>
      </w:r>
      <w:r w:rsidR="007603E6">
        <w:rPr>
          <w:sz w:val="24"/>
          <w:szCs w:val="24"/>
        </w:rPr>
        <w:t>“ ausdrücklich</w:t>
      </w:r>
      <w:r w:rsidR="00295372">
        <w:rPr>
          <w:sz w:val="24"/>
          <w:szCs w:val="24"/>
        </w:rPr>
        <w:t xml:space="preserve"> formuliert,</w:t>
      </w:r>
      <w:r w:rsidR="00295372">
        <w:rPr>
          <w:rStyle w:val="Funotenzeichen"/>
          <w:sz w:val="24"/>
          <w:szCs w:val="24"/>
        </w:rPr>
        <w:footnoteReference w:id="19"/>
      </w:r>
      <w:r w:rsidR="00C62208">
        <w:rPr>
          <w:sz w:val="24"/>
          <w:szCs w:val="24"/>
        </w:rPr>
        <w:t xml:space="preserve"> </w:t>
      </w:r>
      <w:r w:rsidR="00295372">
        <w:rPr>
          <w:sz w:val="24"/>
          <w:szCs w:val="24"/>
        </w:rPr>
        <w:t>auch</w:t>
      </w:r>
      <w:r w:rsidR="003934A9" w:rsidRPr="00C62208">
        <w:rPr>
          <w:i/>
          <w:sz w:val="24"/>
          <w:szCs w:val="24"/>
        </w:rPr>
        <w:t xml:space="preserve"> </w:t>
      </w:r>
      <w:r w:rsidR="003934A9" w:rsidRPr="00295372">
        <w:rPr>
          <w:sz w:val="24"/>
          <w:szCs w:val="24"/>
        </w:rPr>
        <w:t xml:space="preserve">andere </w:t>
      </w:r>
      <w:r w:rsidR="00295372">
        <w:rPr>
          <w:sz w:val="24"/>
          <w:szCs w:val="24"/>
        </w:rPr>
        <w:t>I</w:t>
      </w:r>
      <w:r w:rsidR="00295372">
        <w:rPr>
          <w:sz w:val="24"/>
          <w:szCs w:val="24"/>
        </w:rPr>
        <w:t>n</w:t>
      </w:r>
      <w:r w:rsidR="00295372">
        <w:rPr>
          <w:sz w:val="24"/>
          <w:szCs w:val="24"/>
        </w:rPr>
        <w:t>strumente:</w:t>
      </w:r>
      <w:r w:rsidR="003934A9">
        <w:rPr>
          <w:sz w:val="24"/>
          <w:szCs w:val="24"/>
        </w:rPr>
        <w:t xml:space="preserve"> </w:t>
      </w:r>
      <w:r w:rsidR="00295372">
        <w:rPr>
          <w:sz w:val="24"/>
          <w:szCs w:val="24"/>
        </w:rPr>
        <w:t>ein</w:t>
      </w:r>
      <w:r w:rsidR="003934A9">
        <w:rPr>
          <w:sz w:val="24"/>
          <w:szCs w:val="24"/>
        </w:rPr>
        <w:t xml:space="preserve"> Streik</w:t>
      </w:r>
      <w:r w:rsidR="00DE1973">
        <w:rPr>
          <w:sz w:val="24"/>
          <w:szCs w:val="24"/>
        </w:rPr>
        <w:t xml:space="preserve"> oder ein gerichtliche</w:t>
      </w:r>
      <w:r w:rsidR="00295372">
        <w:rPr>
          <w:sz w:val="24"/>
          <w:szCs w:val="24"/>
        </w:rPr>
        <w:t>r</w:t>
      </w:r>
      <w:r w:rsidR="00DE1973">
        <w:rPr>
          <w:sz w:val="24"/>
          <w:szCs w:val="24"/>
        </w:rPr>
        <w:t xml:space="preserve"> Arrests</w:t>
      </w:r>
      <w:r w:rsidR="003934A9">
        <w:rPr>
          <w:sz w:val="24"/>
          <w:szCs w:val="24"/>
        </w:rPr>
        <w:t xml:space="preserve">, </w:t>
      </w:r>
      <w:r>
        <w:rPr>
          <w:sz w:val="24"/>
          <w:szCs w:val="24"/>
        </w:rPr>
        <w:t>zu</w:t>
      </w:r>
      <w:r w:rsidR="00295372">
        <w:rPr>
          <w:sz w:val="24"/>
          <w:szCs w:val="24"/>
        </w:rPr>
        <w:t>r</w:t>
      </w:r>
      <w:r>
        <w:rPr>
          <w:sz w:val="24"/>
          <w:szCs w:val="24"/>
        </w:rPr>
        <w:t xml:space="preserve"> </w:t>
      </w:r>
      <w:r w:rsidR="00295372">
        <w:rPr>
          <w:sz w:val="24"/>
          <w:szCs w:val="24"/>
        </w:rPr>
        <w:t>Verfügung gestanden</w:t>
      </w:r>
      <w:r w:rsidR="009E5797">
        <w:rPr>
          <w:sz w:val="24"/>
          <w:szCs w:val="24"/>
        </w:rPr>
        <w:t xml:space="preserve">, also </w:t>
      </w:r>
      <w:r>
        <w:rPr>
          <w:sz w:val="24"/>
          <w:szCs w:val="24"/>
        </w:rPr>
        <w:t xml:space="preserve">Mittel, die das Eigentumsrecht </w:t>
      </w:r>
      <w:r w:rsidRPr="00295372">
        <w:rPr>
          <w:i/>
          <w:sz w:val="24"/>
          <w:szCs w:val="24"/>
        </w:rPr>
        <w:t xml:space="preserve">nicht </w:t>
      </w:r>
      <w:r>
        <w:rPr>
          <w:sz w:val="24"/>
          <w:szCs w:val="24"/>
        </w:rPr>
        <w:t>berühr</w:t>
      </w:r>
      <w:r w:rsidR="00295372">
        <w:rPr>
          <w:sz w:val="24"/>
          <w:szCs w:val="24"/>
        </w:rPr>
        <w:t>t hätt</w:t>
      </w:r>
      <w:r>
        <w:rPr>
          <w:sz w:val="24"/>
          <w:szCs w:val="24"/>
        </w:rPr>
        <w:t>en</w:t>
      </w:r>
      <w:r w:rsidR="003934A9">
        <w:rPr>
          <w:sz w:val="24"/>
          <w:szCs w:val="24"/>
        </w:rPr>
        <w:t>.</w:t>
      </w:r>
    </w:p>
    <w:p w:rsidR="003934A9" w:rsidRDefault="003934A9" w:rsidP="00E41506">
      <w:pPr>
        <w:spacing w:after="0"/>
        <w:jc w:val="both"/>
        <w:rPr>
          <w:sz w:val="24"/>
          <w:szCs w:val="24"/>
        </w:rPr>
      </w:pPr>
      <w:r>
        <w:rPr>
          <w:sz w:val="24"/>
          <w:szCs w:val="24"/>
        </w:rPr>
        <w:tab/>
        <w:t>D</w:t>
      </w:r>
      <w:r w:rsidR="009E5797">
        <w:rPr>
          <w:sz w:val="24"/>
          <w:szCs w:val="24"/>
        </w:rPr>
        <w:t>ie Beschuldigung,</w:t>
      </w:r>
      <w:r>
        <w:rPr>
          <w:sz w:val="24"/>
          <w:szCs w:val="24"/>
        </w:rPr>
        <w:t xml:space="preserve"> der Verleger </w:t>
      </w:r>
      <w:proofErr w:type="spellStart"/>
      <w:r>
        <w:rPr>
          <w:sz w:val="24"/>
          <w:szCs w:val="24"/>
        </w:rPr>
        <w:t>Poliakoff</w:t>
      </w:r>
      <w:proofErr w:type="spellEnd"/>
      <w:r>
        <w:rPr>
          <w:sz w:val="24"/>
          <w:szCs w:val="24"/>
        </w:rPr>
        <w:t xml:space="preserve"> </w:t>
      </w:r>
      <w:r w:rsidR="009E5797">
        <w:rPr>
          <w:sz w:val="24"/>
          <w:szCs w:val="24"/>
        </w:rPr>
        <w:t>strebe eine</w:t>
      </w:r>
      <w:r w:rsidR="00691777">
        <w:rPr>
          <w:sz w:val="24"/>
          <w:szCs w:val="24"/>
        </w:rPr>
        <w:t xml:space="preserve"> politische Kooperation mit dem Dritten Reich </w:t>
      </w:r>
      <w:r w:rsidR="009E5797">
        <w:rPr>
          <w:sz w:val="24"/>
          <w:szCs w:val="24"/>
        </w:rPr>
        <w:t>an</w:t>
      </w:r>
      <w:r w:rsidR="00691777">
        <w:rPr>
          <w:sz w:val="24"/>
          <w:szCs w:val="24"/>
        </w:rPr>
        <w:t>, war infam, zumal der Vorwurf in der Form, wie er geäußert wurde, von A</w:t>
      </w:r>
      <w:r w:rsidR="00691777">
        <w:rPr>
          <w:sz w:val="24"/>
          <w:szCs w:val="24"/>
        </w:rPr>
        <w:t>u</w:t>
      </w:r>
      <w:r w:rsidR="00691777">
        <w:rPr>
          <w:sz w:val="24"/>
          <w:szCs w:val="24"/>
        </w:rPr>
        <w:t xml:space="preserve">ßenstehenden nicht </w:t>
      </w:r>
      <w:r w:rsidR="009E5797">
        <w:rPr>
          <w:sz w:val="24"/>
          <w:szCs w:val="24"/>
        </w:rPr>
        <w:t xml:space="preserve">zu </w:t>
      </w:r>
      <w:r w:rsidR="00691777">
        <w:rPr>
          <w:sz w:val="24"/>
          <w:szCs w:val="24"/>
        </w:rPr>
        <w:t xml:space="preserve">überprüfen </w:t>
      </w:r>
      <w:r w:rsidR="009E5797">
        <w:rPr>
          <w:sz w:val="24"/>
          <w:szCs w:val="24"/>
        </w:rPr>
        <w:t>war</w:t>
      </w:r>
      <w:r w:rsidR="00691777">
        <w:rPr>
          <w:sz w:val="24"/>
          <w:szCs w:val="24"/>
        </w:rPr>
        <w:t>.</w:t>
      </w:r>
      <w:r w:rsidR="00806332">
        <w:rPr>
          <w:rStyle w:val="Funotenzeichen"/>
          <w:sz w:val="24"/>
          <w:szCs w:val="24"/>
        </w:rPr>
        <w:footnoteReference w:id="20"/>
      </w:r>
      <w:r w:rsidR="00691777">
        <w:rPr>
          <w:sz w:val="24"/>
          <w:szCs w:val="24"/>
        </w:rPr>
        <w:t xml:space="preserve"> </w:t>
      </w:r>
      <w:r w:rsidR="004C3A12">
        <w:rPr>
          <w:sz w:val="24"/>
          <w:szCs w:val="24"/>
        </w:rPr>
        <w:t>Auf keinen Fall ermächtigte d</w:t>
      </w:r>
      <w:r w:rsidR="009E5797">
        <w:rPr>
          <w:sz w:val="24"/>
          <w:szCs w:val="24"/>
        </w:rPr>
        <w:t>er bloße Verdacht</w:t>
      </w:r>
      <w:r w:rsidR="00691777">
        <w:rPr>
          <w:sz w:val="24"/>
          <w:szCs w:val="24"/>
        </w:rPr>
        <w:t xml:space="preserve"> die </w:t>
      </w:r>
      <w:r w:rsidR="00691777">
        <w:rPr>
          <w:sz w:val="24"/>
          <w:szCs w:val="24"/>
        </w:rPr>
        <w:lastRenderedPageBreak/>
        <w:t xml:space="preserve">Redaktion zu spontanem Handeln. Der Ort des Geschehens </w:t>
      </w:r>
      <w:r w:rsidR="004C3A12">
        <w:rPr>
          <w:sz w:val="24"/>
          <w:szCs w:val="24"/>
        </w:rPr>
        <w:t xml:space="preserve">war </w:t>
      </w:r>
      <w:r w:rsidR="00691777">
        <w:rPr>
          <w:sz w:val="24"/>
          <w:szCs w:val="24"/>
        </w:rPr>
        <w:t>nicht das Dritte Reich, so</w:t>
      </w:r>
      <w:r w:rsidR="00691777">
        <w:rPr>
          <w:sz w:val="24"/>
          <w:szCs w:val="24"/>
        </w:rPr>
        <w:t>n</w:t>
      </w:r>
      <w:r w:rsidR="00691777">
        <w:rPr>
          <w:sz w:val="24"/>
          <w:szCs w:val="24"/>
        </w:rPr>
        <w:t>dern Frankreich</w:t>
      </w:r>
      <w:r w:rsidR="004C3A12">
        <w:rPr>
          <w:sz w:val="24"/>
          <w:szCs w:val="24"/>
        </w:rPr>
        <w:t>; es konnten</w:t>
      </w:r>
      <w:r w:rsidR="00691777">
        <w:rPr>
          <w:sz w:val="24"/>
          <w:szCs w:val="24"/>
        </w:rPr>
        <w:t xml:space="preserve"> also Gerichte, ggfs. auch die Öffentlichkeit, angerufen werden</w:t>
      </w:r>
      <w:r w:rsidR="004C3A12">
        <w:rPr>
          <w:sz w:val="24"/>
          <w:szCs w:val="24"/>
        </w:rPr>
        <w:t>. E</w:t>
      </w:r>
      <w:r w:rsidR="00691777">
        <w:rPr>
          <w:sz w:val="24"/>
          <w:szCs w:val="24"/>
        </w:rPr>
        <w:t>in Handlungszwang</w:t>
      </w:r>
      <w:r w:rsidR="004C3A12">
        <w:rPr>
          <w:sz w:val="24"/>
          <w:szCs w:val="24"/>
        </w:rPr>
        <w:t xml:space="preserve"> bestand nicht</w:t>
      </w:r>
      <w:r w:rsidR="00691777">
        <w:rPr>
          <w:sz w:val="24"/>
          <w:szCs w:val="24"/>
        </w:rPr>
        <w:t xml:space="preserve">. Die Akteure nahmen </w:t>
      </w:r>
      <w:r w:rsidR="004C3A12">
        <w:rPr>
          <w:sz w:val="24"/>
          <w:szCs w:val="24"/>
        </w:rPr>
        <w:t>vielmehr</w:t>
      </w:r>
      <w:r w:rsidR="00691777">
        <w:rPr>
          <w:sz w:val="24"/>
          <w:szCs w:val="24"/>
        </w:rPr>
        <w:t xml:space="preserve"> billigend in Kauf, dass der Beschuldigte fortan mit </w:t>
      </w:r>
      <w:r w:rsidR="00257745">
        <w:rPr>
          <w:sz w:val="24"/>
          <w:szCs w:val="24"/>
        </w:rPr>
        <w:t>d</w:t>
      </w:r>
      <w:r w:rsidR="00691777">
        <w:rPr>
          <w:sz w:val="24"/>
          <w:szCs w:val="24"/>
        </w:rPr>
        <w:t>e</w:t>
      </w:r>
      <w:r w:rsidR="00257745">
        <w:rPr>
          <w:sz w:val="24"/>
          <w:szCs w:val="24"/>
        </w:rPr>
        <w:t xml:space="preserve">m Verdacht, eine ehrenrührige Handlung begangen zu haben, </w:t>
      </w:r>
      <w:r w:rsidR="00E802FB">
        <w:rPr>
          <w:sz w:val="24"/>
          <w:szCs w:val="24"/>
        </w:rPr>
        <w:t>leben musste</w:t>
      </w:r>
      <w:r w:rsidR="00691777">
        <w:rPr>
          <w:sz w:val="24"/>
          <w:szCs w:val="24"/>
        </w:rPr>
        <w:t xml:space="preserve">. </w:t>
      </w:r>
      <w:r w:rsidR="00257745">
        <w:rPr>
          <w:sz w:val="24"/>
          <w:szCs w:val="24"/>
        </w:rPr>
        <w:t xml:space="preserve">Den Verdacht konnte er in keiner Weise widerlegen. </w:t>
      </w:r>
      <w:r w:rsidR="00691777">
        <w:rPr>
          <w:sz w:val="24"/>
          <w:szCs w:val="24"/>
        </w:rPr>
        <w:t>Auch das ließ nichts Gutes für die Verhältnisse in einem „neuen deutschen Staat“ erwarten, war also schädlich für die aktue</w:t>
      </w:r>
      <w:r w:rsidR="00691777">
        <w:rPr>
          <w:sz w:val="24"/>
          <w:szCs w:val="24"/>
        </w:rPr>
        <w:t>l</w:t>
      </w:r>
      <w:r w:rsidR="00691777">
        <w:rPr>
          <w:sz w:val="24"/>
          <w:szCs w:val="24"/>
        </w:rPr>
        <w:t>len Bündnis- und Einheitsfrontverhandlungen.</w:t>
      </w:r>
    </w:p>
    <w:p w:rsidR="00691777" w:rsidRDefault="00691777" w:rsidP="00E41506">
      <w:pPr>
        <w:spacing w:after="0"/>
        <w:jc w:val="both"/>
        <w:rPr>
          <w:sz w:val="24"/>
          <w:szCs w:val="24"/>
        </w:rPr>
      </w:pPr>
      <w:r>
        <w:rPr>
          <w:sz w:val="24"/>
          <w:szCs w:val="24"/>
        </w:rPr>
        <w:tab/>
        <w:t xml:space="preserve">Die Aktion wurde dadurch gedeckt, dass man sich auf einen hochgestellten Vertreter einer der sozialistischen Regierungsparteien, den französischen Deputierten Salomon </w:t>
      </w:r>
      <w:proofErr w:type="spellStart"/>
      <w:r>
        <w:rPr>
          <w:sz w:val="24"/>
          <w:szCs w:val="24"/>
        </w:rPr>
        <w:t>Gru</w:t>
      </w:r>
      <w:r>
        <w:rPr>
          <w:sz w:val="24"/>
          <w:szCs w:val="24"/>
        </w:rPr>
        <w:t>m</w:t>
      </w:r>
      <w:r>
        <w:rPr>
          <w:sz w:val="24"/>
          <w:szCs w:val="24"/>
        </w:rPr>
        <w:t>bach</w:t>
      </w:r>
      <w:proofErr w:type="spellEnd"/>
      <w:r w:rsidR="00BA500D">
        <w:rPr>
          <w:sz w:val="24"/>
          <w:szCs w:val="24"/>
        </w:rPr>
        <w:t>,</w:t>
      </w:r>
      <w:r>
        <w:rPr>
          <w:sz w:val="24"/>
          <w:szCs w:val="24"/>
        </w:rPr>
        <w:t xml:space="preserve"> berief. Dass </w:t>
      </w:r>
      <w:proofErr w:type="spellStart"/>
      <w:r>
        <w:rPr>
          <w:sz w:val="24"/>
          <w:szCs w:val="24"/>
        </w:rPr>
        <w:t>Grumbach</w:t>
      </w:r>
      <w:proofErr w:type="spellEnd"/>
      <w:r>
        <w:rPr>
          <w:sz w:val="24"/>
          <w:szCs w:val="24"/>
        </w:rPr>
        <w:t xml:space="preserve"> sich zu dieser Frage öffentlich – und eindeutig – äußerte, </w:t>
      </w:r>
      <w:r w:rsidR="00257745">
        <w:rPr>
          <w:sz w:val="24"/>
          <w:szCs w:val="24"/>
        </w:rPr>
        <w:t>stand</w:t>
      </w:r>
      <w:r>
        <w:rPr>
          <w:sz w:val="24"/>
          <w:szCs w:val="24"/>
        </w:rPr>
        <w:t xml:space="preserve"> nicht zu erwarten</w:t>
      </w:r>
      <w:r w:rsidR="00EA2324">
        <w:rPr>
          <w:sz w:val="24"/>
          <w:szCs w:val="24"/>
        </w:rPr>
        <w:t xml:space="preserve">. Eine </w:t>
      </w:r>
      <w:r w:rsidR="00257745">
        <w:rPr>
          <w:sz w:val="24"/>
          <w:szCs w:val="24"/>
        </w:rPr>
        <w:t>entsprechend</w:t>
      </w:r>
      <w:r w:rsidR="00EA2324">
        <w:rPr>
          <w:sz w:val="24"/>
          <w:szCs w:val="24"/>
        </w:rPr>
        <w:t xml:space="preserve">e </w:t>
      </w:r>
      <w:r w:rsidR="004C3A12">
        <w:rPr>
          <w:sz w:val="24"/>
          <w:szCs w:val="24"/>
        </w:rPr>
        <w:t>Stellungnahme</w:t>
      </w:r>
      <w:r w:rsidR="00EA2324">
        <w:rPr>
          <w:sz w:val="24"/>
          <w:szCs w:val="24"/>
        </w:rPr>
        <w:t xml:space="preserve"> hätte </w:t>
      </w:r>
      <w:r w:rsidR="004C3A12">
        <w:rPr>
          <w:sz w:val="24"/>
          <w:szCs w:val="24"/>
        </w:rPr>
        <w:t xml:space="preserve">möglicherweise </w:t>
      </w:r>
      <w:r w:rsidR="00EA2324">
        <w:rPr>
          <w:sz w:val="24"/>
          <w:szCs w:val="24"/>
        </w:rPr>
        <w:t>andere, im Hi</w:t>
      </w:r>
      <w:r w:rsidR="00EA2324">
        <w:rPr>
          <w:sz w:val="24"/>
          <w:szCs w:val="24"/>
        </w:rPr>
        <w:t>n</w:t>
      </w:r>
      <w:r w:rsidR="00EA2324">
        <w:rPr>
          <w:sz w:val="24"/>
          <w:szCs w:val="24"/>
        </w:rPr>
        <w:t>tergrund agierende oder zumindest in die Affäre eingeweihte politische Persönlichkeiten bloßgestellt.</w:t>
      </w:r>
      <w:r w:rsidR="00BA500D">
        <w:rPr>
          <w:rStyle w:val="Funotenzeichen"/>
          <w:sz w:val="24"/>
          <w:szCs w:val="24"/>
        </w:rPr>
        <w:footnoteReference w:id="21"/>
      </w:r>
      <w:r w:rsidR="00EA2324">
        <w:rPr>
          <w:sz w:val="24"/>
          <w:szCs w:val="24"/>
        </w:rPr>
        <w:t xml:space="preserve"> </w:t>
      </w:r>
      <w:r w:rsidR="004C3A12">
        <w:rPr>
          <w:sz w:val="24"/>
          <w:szCs w:val="24"/>
        </w:rPr>
        <w:t>Dies</w:t>
      </w:r>
      <w:r w:rsidR="00EA2324">
        <w:rPr>
          <w:sz w:val="24"/>
          <w:szCs w:val="24"/>
        </w:rPr>
        <w:t xml:space="preserve"> </w:t>
      </w:r>
      <w:r w:rsidR="004C3A12">
        <w:rPr>
          <w:sz w:val="24"/>
          <w:szCs w:val="24"/>
        </w:rPr>
        <w:t xml:space="preserve">wiederum </w:t>
      </w:r>
      <w:r w:rsidR="00EA2324">
        <w:rPr>
          <w:sz w:val="24"/>
          <w:szCs w:val="24"/>
        </w:rPr>
        <w:t>hätte möglicherweise zu Konflikten zwischen den Regierung</w:t>
      </w:r>
      <w:r w:rsidR="00EA2324">
        <w:rPr>
          <w:sz w:val="24"/>
          <w:szCs w:val="24"/>
        </w:rPr>
        <w:t>s</w:t>
      </w:r>
      <w:r w:rsidR="00EA2324">
        <w:rPr>
          <w:sz w:val="24"/>
          <w:szCs w:val="24"/>
        </w:rPr>
        <w:t>parteien geführt, denn es ist durchaus möglich, dass einzelne prominente kommunistische oder auch sozialistische Politiker</w:t>
      </w:r>
      <w:r w:rsidR="004C3A12">
        <w:rPr>
          <w:sz w:val="24"/>
          <w:szCs w:val="24"/>
        </w:rPr>
        <w:t xml:space="preserve"> </w:t>
      </w:r>
      <w:r w:rsidR="00257745" w:rsidRPr="00EA2324">
        <w:rPr>
          <w:i/>
          <w:sz w:val="24"/>
          <w:szCs w:val="24"/>
        </w:rPr>
        <w:t>zumindest indirekt</w:t>
      </w:r>
      <w:r w:rsidR="00257745">
        <w:rPr>
          <w:sz w:val="24"/>
          <w:szCs w:val="24"/>
        </w:rPr>
        <w:t xml:space="preserve"> </w:t>
      </w:r>
      <w:r w:rsidR="004C3A12">
        <w:rPr>
          <w:sz w:val="24"/>
          <w:szCs w:val="24"/>
        </w:rPr>
        <w:t xml:space="preserve">an der Affäre </w:t>
      </w:r>
      <w:r w:rsidR="00EA2324">
        <w:rPr>
          <w:sz w:val="24"/>
          <w:szCs w:val="24"/>
        </w:rPr>
        <w:t>beteiligt waren. Wäre d</w:t>
      </w:r>
      <w:r w:rsidR="00FF3991">
        <w:rPr>
          <w:sz w:val="24"/>
          <w:szCs w:val="24"/>
        </w:rPr>
        <w:t>ie</w:t>
      </w:r>
      <w:r w:rsidR="00EA2324">
        <w:rPr>
          <w:sz w:val="24"/>
          <w:szCs w:val="24"/>
        </w:rPr>
        <w:t>s bekannt geworden, hätte das Anlass zu Angriffen der Opposition geboten.</w:t>
      </w:r>
    </w:p>
    <w:p w:rsidR="00EA2324" w:rsidRDefault="00EA2324" w:rsidP="00E41506">
      <w:pPr>
        <w:spacing w:after="0"/>
        <w:jc w:val="both"/>
        <w:rPr>
          <w:sz w:val="24"/>
          <w:szCs w:val="24"/>
        </w:rPr>
      </w:pPr>
      <w:r>
        <w:rPr>
          <w:sz w:val="24"/>
          <w:szCs w:val="24"/>
        </w:rPr>
        <w:tab/>
        <w:t xml:space="preserve">Die Frage des Standesethos und der persönlichen Integrität wurde durch die </w:t>
      </w:r>
      <w:r w:rsidR="00972A5C">
        <w:rPr>
          <w:sz w:val="24"/>
          <w:szCs w:val="24"/>
        </w:rPr>
        <w:t>Konfro</w:t>
      </w:r>
      <w:r w:rsidR="00972A5C">
        <w:rPr>
          <w:sz w:val="24"/>
          <w:szCs w:val="24"/>
        </w:rPr>
        <w:t>n</w:t>
      </w:r>
      <w:r w:rsidR="00972A5C">
        <w:rPr>
          <w:sz w:val="24"/>
          <w:szCs w:val="24"/>
        </w:rPr>
        <w:t>ta</w:t>
      </w:r>
      <w:r>
        <w:rPr>
          <w:sz w:val="24"/>
          <w:szCs w:val="24"/>
        </w:rPr>
        <w:t>tion Georg Bernhard – Leopold Schwarzschild aktuell. Bernhard – als langjähriger Chefr</w:t>
      </w:r>
      <w:r>
        <w:rPr>
          <w:sz w:val="24"/>
          <w:szCs w:val="24"/>
        </w:rPr>
        <w:t>e</w:t>
      </w:r>
      <w:r>
        <w:rPr>
          <w:sz w:val="24"/>
          <w:szCs w:val="24"/>
        </w:rPr>
        <w:t xml:space="preserve">dakteur der </w:t>
      </w:r>
      <w:r>
        <w:rPr>
          <w:i/>
          <w:sz w:val="24"/>
          <w:szCs w:val="24"/>
        </w:rPr>
        <w:t>Vossischen Zeitung</w:t>
      </w:r>
      <w:r>
        <w:rPr>
          <w:sz w:val="24"/>
          <w:szCs w:val="24"/>
        </w:rPr>
        <w:t>, als ehemaliger Reichstagsabgeordneter der DDP, als Emi</w:t>
      </w:r>
      <w:r>
        <w:rPr>
          <w:sz w:val="24"/>
          <w:szCs w:val="24"/>
        </w:rPr>
        <w:t>g</w:t>
      </w:r>
      <w:r>
        <w:rPr>
          <w:sz w:val="24"/>
          <w:szCs w:val="24"/>
        </w:rPr>
        <w:t xml:space="preserve">rant, dessen Name in einem „Feuerspruch“ der Bücherverbrennungen genannt wurde und </w:t>
      </w:r>
      <w:r w:rsidR="004C3A12">
        <w:rPr>
          <w:sz w:val="24"/>
          <w:szCs w:val="24"/>
        </w:rPr>
        <w:t xml:space="preserve">der </w:t>
      </w:r>
      <w:r>
        <w:rPr>
          <w:sz w:val="24"/>
          <w:szCs w:val="24"/>
        </w:rPr>
        <w:t xml:space="preserve">sich </w:t>
      </w:r>
      <w:r w:rsidR="004C3A12">
        <w:rPr>
          <w:sz w:val="24"/>
          <w:szCs w:val="24"/>
        </w:rPr>
        <w:t xml:space="preserve">zudem </w:t>
      </w:r>
      <w:r>
        <w:rPr>
          <w:sz w:val="24"/>
          <w:szCs w:val="24"/>
        </w:rPr>
        <w:t xml:space="preserve">auf der ersten Ausbürgerungsliste befand, als prominenter </w:t>
      </w:r>
      <w:r w:rsidR="004C3A12">
        <w:rPr>
          <w:sz w:val="24"/>
          <w:szCs w:val="24"/>
        </w:rPr>
        <w:t>Repräsentant</w:t>
      </w:r>
      <w:r>
        <w:rPr>
          <w:sz w:val="24"/>
          <w:szCs w:val="24"/>
        </w:rPr>
        <w:t xml:space="preserve"> jüdischer Organisationen – </w:t>
      </w:r>
      <w:r w:rsidR="00257745">
        <w:rPr>
          <w:sz w:val="24"/>
          <w:szCs w:val="24"/>
        </w:rPr>
        <w:t xml:space="preserve">war </w:t>
      </w:r>
      <w:r>
        <w:rPr>
          <w:sz w:val="24"/>
          <w:szCs w:val="24"/>
        </w:rPr>
        <w:t xml:space="preserve">eine der markantesten Persönlichkeiten des deutschen Exils. Wenn Georg Bernhard einer derartigen Infamie wie der </w:t>
      </w:r>
      <w:r>
        <w:rPr>
          <w:i/>
          <w:sz w:val="24"/>
          <w:szCs w:val="24"/>
        </w:rPr>
        <w:t>Tageblatt</w:t>
      </w:r>
      <w:r>
        <w:rPr>
          <w:sz w:val="24"/>
          <w:szCs w:val="24"/>
        </w:rPr>
        <w:t xml:space="preserve">-Affäre überführt wurde, </w:t>
      </w:r>
      <w:r w:rsidR="004C24ED">
        <w:rPr>
          <w:sz w:val="24"/>
          <w:szCs w:val="24"/>
        </w:rPr>
        <w:t xml:space="preserve">dann </w:t>
      </w:r>
      <w:r w:rsidR="00FF3991">
        <w:rPr>
          <w:sz w:val="24"/>
          <w:szCs w:val="24"/>
        </w:rPr>
        <w:t>schlug</w:t>
      </w:r>
      <w:r w:rsidR="004C24ED">
        <w:rPr>
          <w:sz w:val="24"/>
          <w:szCs w:val="24"/>
        </w:rPr>
        <w:t xml:space="preserve"> das zurück auf das Ansehen des gesamten Exils. – </w:t>
      </w:r>
      <w:r w:rsidR="00FF3991">
        <w:rPr>
          <w:sz w:val="24"/>
          <w:szCs w:val="24"/>
        </w:rPr>
        <w:t>Andere</w:t>
      </w:r>
      <w:r w:rsidR="00257745">
        <w:rPr>
          <w:sz w:val="24"/>
          <w:szCs w:val="24"/>
        </w:rPr>
        <w:t>r</w:t>
      </w:r>
      <w:r w:rsidR="00FF3991">
        <w:rPr>
          <w:sz w:val="24"/>
          <w:szCs w:val="24"/>
        </w:rPr>
        <w:t>seits</w:t>
      </w:r>
      <w:r w:rsidR="004C24ED">
        <w:rPr>
          <w:sz w:val="24"/>
          <w:szCs w:val="24"/>
        </w:rPr>
        <w:t xml:space="preserve"> war es ebenfalls infam, Leopold Schwarzschild der „Hetze“ zu beschuldigen und ihm direkt wie indirekt den Vorwurf zu machen, </w:t>
      </w:r>
      <w:r w:rsidR="00972A5C">
        <w:rPr>
          <w:sz w:val="24"/>
          <w:szCs w:val="24"/>
        </w:rPr>
        <w:t xml:space="preserve">durch </w:t>
      </w:r>
      <w:r w:rsidR="004C24ED">
        <w:rPr>
          <w:sz w:val="24"/>
          <w:szCs w:val="24"/>
        </w:rPr>
        <w:t xml:space="preserve">seine Vorwürfen und Recherchen die „Volksfront“ zu diffamieren. Schwarzschild erfüllte </w:t>
      </w:r>
      <w:r w:rsidR="00257745">
        <w:rPr>
          <w:sz w:val="24"/>
          <w:szCs w:val="24"/>
        </w:rPr>
        <w:t xml:space="preserve">mit seiner Intervention </w:t>
      </w:r>
      <w:r w:rsidR="004C24ED">
        <w:rPr>
          <w:sz w:val="24"/>
          <w:szCs w:val="24"/>
        </w:rPr>
        <w:t xml:space="preserve">nur die elementare journalistische </w:t>
      </w:r>
      <w:r w:rsidR="00257745">
        <w:rPr>
          <w:sz w:val="24"/>
          <w:szCs w:val="24"/>
        </w:rPr>
        <w:t>Pflichten</w:t>
      </w:r>
      <w:r w:rsidR="004C24ED">
        <w:rPr>
          <w:sz w:val="24"/>
          <w:szCs w:val="24"/>
        </w:rPr>
        <w:t>: zu recherchieren, um – nach Möglichkeit – die „Wahrheit“ zu erkunden. Wenn dieses Recht auf freie journalistische Recherche jedoch – im Sinne von „Der Zweck heiligt die Mittel“ – in Frage gestellt wurde, dann war auch in einem künftigen Deutschland „Böses“ zu erwarten.</w:t>
      </w:r>
      <w:r w:rsidR="00972A5C">
        <w:rPr>
          <w:rStyle w:val="Funotenzeichen"/>
          <w:sz w:val="24"/>
          <w:szCs w:val="24"/>
        </w:rPr>
        <w:footnoteReference w:id="22"/>
      </w:r>
      <w:r w:rsidR="004C24ED">
        <w:rPr>
          <w:sz w:val="24"/>
          <w:szCs w:val="24"/>
        </w:rPr>
        <w:t xml:space="preserve"> – Diese Problemlage erklärt, weshalb die </w:t>
      </w:r>
      <w:r w:rsidR="004C24ED">
        <w:rPr>
          <w:i/>
          <w:sz w:val="24"/>
          <w:szCs w:val="24"/>
        </w:rPr>
        <w:t>Pariser Tageblatt-</w:t>
      </w:r>
      <w:r w:rsidR="004C24ED">
        <w:rPr>
          <w:sz w:val="24"/>
          <w:szCs w:val="24"/>
        </w:rPr>
        <w:t>Affäre das Potential beinhaltete, das Exil ein für alle Mal politisch zu spalten.</w:t>
      </w:r>
    </w:p>
    <w:p w:rsidR="009F6C31" w:rsidRDefault="00993562" w:rsidP="00E41506">
      <w:pPr>
        <w:spacing w:after="0"/>
        <w:jc w:val="both"/>
        <w:rPr>
          <w:sz w:val="24"/>
          <w:szCs w:val="24"/>
        </w:rPr>
      </w:pPr>
      <w:r>
        <w:rPr>
          <w:sz w:val="24"/>
          <w:szCs w:val="24"/>
        </w:rPr>
        <w:lastRenderedPageBreak/>
        <w:tab/>
        <w:t xml:space="preserve">Die Affäre enthielt noch einen weiteren Aspekt. Lion Feuchtwanger hat ihn in seinem Roman </w:t>
      </w:r>
      <w:r>
        <w:rPr>
          <w:i/>
          <w:sz w:val="24"/>
          <w:szCs w:val="24"/>
        </w:rPr>
        <w:t>Exil</w:t>
      </w:r>
      <w:r>
        <w:rPr>
          <w:sz w:val="24"/>
          <w:szCs w:val="24"/>
        </w:rPr>
        <w:t xml:space="preserve">, der über weite Strecken hinweg eine Darstellung der </w:t>
      </w:r>
      <w:r>
        <w:rPr>
          <w:i/>
          <w:sz w:val="24"/>
          <w:szCs w:val="24"/>
        </w:rPr>
        <w:t>Pariser Tageblatt-</w:t>
      </w:r>
      <w:r>
        <w:rPr>
          <w:sz w:val="24"/>
          <w:szCs w:val="24"/>
        </w:rPr>
        <w:t xml:space="preserve">Affäre ist, in äußerst unangenehmer Weise – zu Gunsten Bernhards und der Redaktion, zum Nachteil </w:t>
      </w:r>
      <w:proofErr w:type="spellStart"/>
      <w:r>
        <w:rPr>
          <w:sz w:val="24"/>
          <w:szCs w:val="24"/>
        </w:rPr>
        <w:t>Poliakoffs</w:t>
      </w:r>
      <w:proofErr w:type="spellEnd"/>
      <w:r>
        <w:rPr>
          <w:sz w:val="24"/>
          <w:szCs w:val="24"/>
        </w:rPr>
        <w:t xml:space="preserve">, des Verlegers – thematisiert: die „überhebliche[n] Geringschätzung“, die die „‚erstklassigen‘ deutschen Juden“ – wie </w:t>
      </w:r>
      <w:proofErr w:type="spellStart"/>
      <w:r>
        <w:rPr>
          <w:sz w:val="24"/>
          <w:szCs w:val="24"/>
        </w:rPr>
        <w:t>Poliakoffs</w:t>
      </w:r>
      <w:proofErr w:type="spellEnd"/>
      <w:r>
        <w:rPr>
          <w:sz w:val="24"/>
          <w:szCs w:val="24"/>
        </w:rPr>
        <w:t xml:space="preserve"> Partner </w:t>
      </w:r>
      <w:proofErr w:type="spellStart"/>
      <w:r>
        <w:rPr>
          <w:sz w:val="24"/>
          <w:szCs w:val="24"/>
        </w:rPr>
        <w:t>Grodzenski</w:t>
      </w:r>
      <w:proofErr w:type="spellEnd"/>
      <w:r>
        <w:rPr>
          <w:sz w:val="24"/>
          <w:szCs w:val="24"/>
        </w:rPr>
        <w:t xml:space="preserve"> sagt – „den ‚minde</w:t>
      </w:r>
      <w:r>
        <w:rPr>
          <w:sz w:val="24"/>
          <w:szCs w:val="24"/>
        </w:rPr>
        <w:t>r</w:t>
      </w:r>
      <w:r>
        <w:rPr>
          <w:sz w:val="24"/>
          <w:szCs w:val="24"/>
        </w:rPr>
        <w:t>wertigen‘ Ostjuden“ entgegenbringen.</w:t>
      </w:r>
      <w:r>
        <w:rPr>
          <w:rStyle w:val="Funotenzeichen"/>
          <w:sz w:val="24"/>
          <w:szCs w:val="24"/>
        </w:rPr>
        <w:footnoteReference w:id="23"/>
      </w:r>
      <w:r>
        <w:rPr>
          <w:sz w:val="24"/>
          <w:szCs w:val="24"/>
        </w:rPr>
        <w:t xml:space="preserve"> Die „Ostjuden“ sind danach </w:t>
      </w:r>
      <w:r w:rsidR="009F6C31">
        <w:rPr>
          <w:sz w:val="24"/>
          <w:szCs w:val="24"/>
        </w:rPr>
        <w:t>„</w:t>
      </w:r>
      <w:r>
        <w:rPr>
          <w:sz w:val="24"/>
          <w:szCs w:val="24"/>
        </w:rPr>
        <w:t>nur am Geschäft</w:t>
      </w:r>
      <w:r w:rsidR="009F6C31">
        <w:rPr>
          <w:sz w:val="24"/>
          <w:szCs w:val="24"/>
        </w:rPr>
        <w:t>“</w:t>
      </w:r>
      <w:r>
        <w:rPr>
          <w:sz w:val="24"/>
          <w:szCs w:val="24"/>
        </w:rPr>
        <w:t xml:space="preserve"> int</w:t>
      </w:r>
      <w:r>
        <w:rPr>
          <w:sz w:val="24"/>
          <w:szCs w:val="24"/>
        </w:rPr>
        <w:t>e</w:t>
      </w:r>
      <w:r>
        <w:rPr>
          <w:sz w:val="24"/>
          <w:szCs w:val="24"/>
        </w:rPr>
        <w:t xml:space="preserve">ressiert. </w:t>
      </w:r>
      <w:r w:rsidR="004145C1">
        <w:rPr>
          <w:sz w:val="24"/>
          <w:szCs w:val="24"/>
        </w:rPr>
        <w:t>Dass dagegen „</w:t>
      </w:r>
      <w:proofErr w:type="spellStart"/>
      <w:r w:rsidR="004145C1">
        <w:rPr>
          <w:sz w:val="24"/>
          <w:szCs w:val="24"/>
        </w:rPr>
        <w:t>Poliakoff</w:t>
      </w:r>
      <w:proofErr w:type="spellEnd"/>
      <w:r w:rsidR="004145C1">
        <w:rPr>
          <w:sz w:val="24"/>
          <w:szCs w:val="24"/>
        </w:rPr>
        <w:t xml:space="preserve"> […] glücklich [war], an seinem Lebensende ein Blatt zu haben, das gegen Hitler kämpfte“,</w:t>
      </w:r>
      <w:r w:rsidR="009F6C31">
        <w:rPr>
          <w:sz w:val="24"/>
          <w:szCs w:val="24"/>
        </w:rPr>
        <w:t xml:space="preserve"> wie in dem Bericht ausdrücklich formuliert wird,</w:t>
      </w:r>
      <w:r w:rsidR="004145C1">
        <w:rPr>
          <w:rStyle w:val="Funotenzeichen"/>
          <w:sz w:val="24"/>
          <w:szCs w:val="24"/>
        </w:rPr>
        <w:footnoteReference w:id="24"/>
      </w:r>
      <w:r w:rsidR="004145C1">
        <w:rPr>
          <w:sz w:val="24"/>
          <w:szCs w:val="24"/>
        </w:rPr>
        <w:t xml:space="preserve"> spielt keine Rolle.</w:t>
      </w:r>
    </w:p>
    <w:p w:rsidR="00993562" w:rsidRDefault="009F6C31" w:rsidP="00E41506">
      <w:pPr>
        <w:spacing w:after="0"/>
        <w:ind w:firstLine="708"/>
        <w:jc w:val="both"/>
        <w:rPr>
          <w:sz w:val="24"/>
          <w:szCs w:val="24"/>
        </w:rPr>
      </w:pPr>
      <w:r>
        <w:rPr>
          <w:sz w:val="24"/>
          <w:szCs w:val="24"/>
        </w:rPr>
        <w:t>D</w:t>
      </w:r>
      <w:r w:rsidR="004145C1">
        <w:rPr>
          <w:sz w:val="24"/>
          <w:szCs w:val="24"/>
        </w:rPr>
        <w:t>as Urteil, das Paul Dreyfus und Be</w:t>
      </w:r>
      <w:r>
        <w:rPr>
          <w:sz w:val="24"/>
          <w:szCs w:val="24"/>
        </w:rPr>
        <w:t>r</w:t>
      </w:r>
      <w:r w:rsidR="004145C1">
        <w:rPr>
          <w:sz w:val="24"/>
          <w:szCs w:val="24"/>
        </w:rPr>
        <w:t xml:space="preserve">thold Jacob formulieren, </w:t>
      </w:r>
      <w:r>
        <w:rPr>
          <w:sz w:val="24"/>
          <w:szCs w:val="24"/>
        </w:rPr>
        <w:t xml:space="preserve">fällt deshalb </w:t>
      </w:r>
      <w:r w:rsidR="004145C1">
        <w:rPr>
          <w:sz w:val="24"/>
          <w:szCs w:val="24"/>
        </w:rPr>
        <w:t>vernic</w:t>
      </w:r>
      <w:r w:rsidR="004145C1">
        <w:rPr>
          <w:sz w:val="24"/>
          <w:szCs w:val="24"/>
        </w:rPr>
        <w:t>h</w:t>
      </w:r>
      <w:r w:rsidR="004145C1">
        <w:rPr>
          <w:sz w:val="24"/>
          <w:szCs w:val="24"/>
        </w:rPr>
        <w:t>tend aus:</w:t>
      </w:r>
    </w:p>
    <w:p w:rsidR="004145C1" w:rsidRPr="00993562" w:rsidRDefault="004145C1" w:rsidP="00E41506">
      <w:pPr>
        <w:spacing w:after="0"/>
        <w:ind w:left="1134"/>
        <w:jc w:val="both"/>
        <w:rPr>
          <w:sz w:val="24"/>
          <w:szCs w:val="24"/>
        </w:rPr>
      </w:pPr>
      <w:r>
        <w:rPr>
          <w:sz w:val="24"/>
          <w:szCs w:val="24"/>
        </w:rPr>
        <w:t>„Es ist das Milieu der Volksfront, deren Führer hier irgend einen internen Cliq</w:t>
      </w:r>
      <w:r>
        <w:rPr>
          <w:sz w:val="24"/>
          <w:szCs w:val="24"/>
        </w:rPr>
        <w:t>u</w:t>
      </w:r>
      <w:r>
        <w:rPr>
          <w:sz w:val="24"/>
          <w:szCs w:val="24"/>
        </w:rPr>
        <w:t xml:space="preserve">enkampf um Geld- und Personenfragen, also das, was sie Machtkampf nennen, mit ihren Mitteln des Betrugs, der Verleumdung und der </w:t>
      </w:r>
      <w:proofErr w:type="spellStart"/>
      <w:r>
        <w:rPr>
          <w:sz w:val="24"/>
          <w:szCs w:val="24"/>
        </w:rPr>
        <w:t>Intrigue</w:t>
      </w:r>
      <w:proofErr w:type="spellEnd"/>
      <w:r>
        <w:rPr>
          <w:sz w:val="24"/>
          <w:szCs w:val="24"/>
        </w:rPr>
        <w:t xml:space="preserve"> aushandeln und ausfechten, einen jener Kämpfe, durch die sie die Emigration in denselben Sumpf verwandeln wie die erste deutsche Republik.“</w:t>
      </w:r>
    </w:p>
    <w:p w:rsidR="008B3C63" w:rsidRDefault="00A155FB" w:rsidP="00E41506">
      <w:pPr>
        <w:spacing w:after="0"/>
        <w:jc w:val="both"/>
        <w:rPr>
          <w:sz w:val="24"/>
          <w:szCs w:val="24"/>
        </w:rPr>
      </w:pPr>
      <w:r>
        <w:rPr>
          <w:sz w:val="24"/>
          <w:szCs w:val="24"/>
        </w:rPr>
        <w:t>Darüber, o</w:t>
      </w:r>
      <w:r w:rsidR="004145C1">
        <w:rPr>
          <w:sz w:val="24"/>
          <w:szCs w:val="24"/>
        </w:rPr>
        <w:t xml:space="preserve">b </w:t>
      </w:r>
      <w:r w:rsidR="009F6C31">
        <w:rPr>
          <w:sz w:val="24"/>
          <w:szCs w:val="24"/>
        </w:rPr>
        <w:t>speziell der Hinweis auf das „Milieu der Volksfront“</w:t>
      </w:r>
      <w:r w:rsidR="004145C1">
        <w:rPr>
          <w:sz w:val="24"/>
          <w:szCs w:val="24"/>
        </w:rPr>
        <w:t xml:space="preserve"> berechtigt ist</w:t>
      </w:r>
      <w:r w:rsidR="009F6C31">
        <w:rPr>
          <w:sz w:val="24"/>
          <w:szCs w:val="24"/>
        </w:rPr>
        <w:t xml:space="preserve"> oder ob es sich hier um eine unzulässige Generalisierung handelt</w:t>
      </w:r>
      <w:r>
        <w:rPr>
          <w:sz w:val="24"/>
          <w:szCs w:val="24"/>
        </w:rPr>
        <w:t xml:space="preserve">, </w:t>
      </w:r>
      <w:r w:rsidR="004145C1">
        <w:rPr>
          <w:sz w:val="24"/>
          <w:szCs w:val="24"/>
        </w:rPr>
        <w:t>lässt sich streiten.</w:t>
      </w:r>
      <w:r w:rsidR="00AD7D51">
        <w:rPr>
          <w:rStyle w:val="Funotenzeichen"/>
          <w:sz w:val="24"/>
          <w:szCs w:val="24"/>
        </w:rPr>
        <w:footnoteReference w:id="25"/>
      </w:r>
      <w:r w:rsidR="004145C1">
        <w:rPr>
          <w:sz w:val="24"/>
          <w:szCs w:val="24"/>
        </w:rPr>
        <w:t xml:space="preserve"> Dass </w:t>
      </w:r>
      <w:r w:rsidR="009F6C31">
        <w:rPr>
          <w:sz w:val="24"/>
          <w:szCs w:val="24"/>
        </w:rPr>
        <w:t xml:space="preserve">das Urteil </w:t>
      </w:r>
      <w:r w:rsidR="004145C1">
        <w:rPr>
          <w:sz w:val="24"/>
          <w:szCs w:val="24"/>
        </w:rPr>
        <w:t>an Härte kaum zu übertreffen ist, ist jedoch sicher unstrittig.</w:t>
      </w:r>
    </w:p>
    <w:p w:rsidR="008B3C63" w:rsidRDefault="008B3C63" w:rsidP="00E41506">
      <w:pPr>
        <w:spacing w:after="0"/>
        <w:jc w:val="both"/>
        <w:rPr>
          <w:sz w:val="24"/>
          <w:szCs w:val="24"/>
        </w:rPr>
      </w:pPr>
    </w:p>
    <w:p w:rsidR="008B3C63" w:rsidRDefault="00A155FB" w:rsidP="00E41506">
      <w:pPr>
        <w:spacing w:after="0"/>
        <w:jc w:val="both"/>
        <w:rPr>
          <w:sz w:val="24"/>
          <w:szCs w:val="24"/>
        </w:rPr>
      </w:pPr>
      <w:r>
        <w:rPr>
          <w:sz w:val="24"/>
          <w:szCs w:val="24"/>
        </w:rPr>
        <w:t>*</w:t>
      </w:r>
    </w:p>
    <w:p w:rsidR="008B3C63" w:rsidRDefault="008B3C63" w:rsidP="00E41506">
      <w:pPr>
        <w:spacing w:after="0"/>
        <w:jc w:val="both"/>
        <w:rPr>
          <w:sz w:val="24"/>
          <w:szCs w:val="24"/>
        </w:rPr>
      </w:pPr>
    </w:p>
    <w:p w:rsidR="00D9629B" w:rsidRDefault="00A80A0F" w:rsidP="00E41506">
      <w:pPr>
        <w:spacing w:after="0"/>
        <w:ind w:firstLine="708"/>
        <w:jc w:val="both"/>
        <w:rPr>
          <w:sz w:val="24"/>
          <w:szCs w:val="24"/>
        </w:rPr>
      </w:pPr>
      <w:r>
        <w:rPr>
          <w:sz w:val="24"/>
          <w:szCs w:val="24"/>
        </w:rPr>
        <w:t xml:space="preserve">Auf den </w:t>
      </w:r>
      <w:r w:rsidR="009872CE">
        <w:rPr>
          <w:sz w:val="24"/>
          <w:szCs w:val="24"/>
        </w:rPr>
        <w:t xml:space="preserve">Skandal um das </w:t>
      </w:r>
      <w:r w:rsidR="009872CE">
        <w:rPr>
          <w:i/>
          <w:sz w:val="24"/>
          <w:szCs w:val="24"/>
        </w:rPr>
        <w:t>Pariser Tageblatt</w:t>
      </w:r>
      <w:r w:rsidR="009872CE">
        <w:rPr>
          <w:sz w:val="24"/>
          <w:szCs w:val="24"/>
        </w:rPr>
        <w:t xml:space="preserve"> </w:t>
      </w:r>
      <w:r>
        <w:rPr>
          <w:sz w:val="24"/>
          <w:szCs w:val="24"/>
        </w:rPr>
        <w:t>folgte der</w:t>
      </w:r>
      <w:r w:rsidR="009872CE">
        <w:rPr>
          <w:sz w:val="24"/>
          <w:szCs w:val="24"/>
        </w:rPr>
        <w:t xml:space="preserve"> Konflikt um </w:t>
      </w:r>
      <w:r w:rsidR="00461FF0">
        <w:rPr>
          <w:i/>
          <w:sz w:val="24"/>
          <w:szCs w:val="24"/>
        </w:rPr>
        <w:t xml:space="preserve">Retour de </w:t>
      </w:r>
      <w:proofErr w:type="spellStart"/>
      <w:r w:rsidR="00461FF0">
        <w:rPr>
          <w:i/>
          <w:sz w:val="24"/>
          <w:szCs w:val="24"/>
        </w:rPr>
        <w:t>l’USSR</w:t>
      </w:r>
      <w:proofErr w:type="spellEnd"/>
      <w:r w:rsidR="00461FF0">
        <w:rPr>
          <w:i/>
          <w:sz w:val="24"/>
          <w:szCs w:val="24"/>
        </w:rPr>
        <w:t xml:space="preserve"> </w:t>
      </w:r>
      <w:r w:rsidR="00461FF0">
        <w:rPr>
          <w:sz w:val="24"/>
          <w:szCs w:val="24"/>
        </w:rPr>
        <w:t xml:space="preserve">(November 1936) und </w:t>
      </w:r>
      <w:proofErr w:type="spellStart"/>
      <w:r w:rsidR="00461FF0">
        <w:rPr>
          <w:i/>
          <w:sz w:val="24"/>
          <w:szCs w:val="24"/>
        </w:rPr>
        <w:t>Retouches</w:t>
      </w:r>
      <w:proofErr w:type="spellEnd"/>
      <w:r w:rsidR="00461FF0">
        <w:rPr>
          <w:i/>
          <w:sz w:val="24"/>
          <w:szCs w:val="24"/>
        </w:rPr>
        <w:t xml:space="preserve"> à </w:t>
      </w:r>
      <w:proofErr w:type="spellStart"/>
      <w:r w:rsidR="00461FF0">
        <w:rPr>
          <w:i/>
          <w:sz w:val="24"/>
          <w:szCs w:val="24"/>
        </w:rPr>
        <w:t>mon</w:t>
      </w:r>
      <w:proofErr w:type="spellEnd"/>
      <w:r w:rsidR="00461FF0">
        <w:rPr>
          <w:i/>
          <w:sz w:val="24"/>
          <w:szCs w:val="24"/>
        </w:rPr>
        <w:t xml:space="preserve"> Retour de </w:t>
      </w:r>
      <w:proofErr w:type="spellStart"/>
      <w:r w:rsidR="00461FF0">
        <w:rPr>
          <w:i/>
          <w:sz w:val="24"/>
          <w:szCs w:val="24"/>
        </w:rPr>
        <w:t>l’USSR</w:t>
      </w:r>
      <w:proofErr w:type="spellEnd"/>
      <w:r w:rsidR="00461FF0">
        <w:rPr>
          <w:i/>
          <w:sz w:val="24"/>
          <w:szCs w:val="24"/>
        </w:rPr>
        <w:t xml:space="preserve"> </w:t>
      </w:r>
      <w:r w:rsidR="00461FF0">
        <w:rPr>
          <w:sz w:val="24"/>
          <w:szCs w:val="24"/>
        </w:rPr>
        <w:t>(Juni 1937)</w:t>
      </w:r>
      <w:r w:rsidR="008C0129">
        <w:rPr>
          <w:sz w:val="24"/>
          <w:szCs w:val="24"/>
        </w:rPr>
        <w:t xml:space="preserve">, André Gides </w:t>
      </w:r>
      <w:r w:rsidR="00D9629B">
        <w:rPr>
          <w:sz w:val="24"/>
          <w:szCs w:val="24"/>
        </w:rPr>
        <w:t>Beri</w:t>
      </w:r>
      <w:r w:rsidR="009872CE">
        <w:rPr>
          <w:sz w:val="24"/>
          <w:szCs w:val="24"/>
        </w:rPr>
        <w:t xml:space="preserve">chte über </w:t>
      </w:r>
      <w:r w:rsidR="008C0129">
        <w:rPr>
          <w:sz w:val="24"/>
          <w:szCs w:val="24"/>
        </w:rPr>
        <w:t>seine</w:t>
      </w:r>
      <w:r w:rsidR="009872CE">
        <w:rPr>
          <w:sz w:val="24"/>
          <w:szCs w:val="24"/>
        </w:rPr>
        <w:t xml:space="preserve"> Russlandreise</w:t>
      </w:r>
      <w:r>
        <w:rPr>
          <w:sz w:val="24"/>
          <w:szCs w:val="24"/>
        </w:rPr>
        <w:t xml:space="preserve">. </w:t>
      </w:r>
      <w:r w:rsidR="00D9629B">
        <w:rPr>
          <w:sz w:val="24"/>
          <w:szCs w:val="24"/>
        </w:rPr>
        <w:t>A</w:t>
      </w:r>
      <w:r w:rsidR="002A20F0">
        <w:rPr>
          <w:sz w:val="24"/>
          <w:szCs w:val="24"/>
        </w:rPr>
        <w:t>nfangs</w:t>
      </w:r>
      <w:r w:rsidR="009872CE">
        <w:rPr>
          <w:sz w:val="24"/>
          <w:szCs w:val="24"/>
        </w:rPr>
        <w:t xml:space="preserve"> </w:t>
      </w:r>
      <w:r w:rsidR="00D9629B">
        <w:rPr>
          <w:sz w:val="24"/>
          <w:szCs w:val="24"/>
        </w:rPr>
        <w:t>war d</w:t>
      </w:r>
      <w:r w:rsidR="00461FF0">
        <w:rPr>
          <w:sz w:val="24"/>
          <w:szCs w:val="24"/>
        </w:rPr>
        <w:t>ie Kontroverse</w:t>
      </w:r>
      <w:r w:rsidR="00D9629B">
        <w:rPr>
          <w:sz w:val="24"/>
          <w:szCs w:val="24"/>
        </w:rPr>
        <w:t xml:space="preserve"> </w:t>
      </w:r>
      <w:r w:rsidR="00131C61">
        <w:rPr>
          <w:sz w:val="24"/>
          <w:szCs w:val="24"/>
        </w:rPr>
        <w:t xml:space="preserve">vor allem </w:t>
      </w:r>
      <w:r w:rsidR="00D9629B">
        <w:rPr>
          <w:sz w:val="24"/>
          <w:szCs w:val="24"/>
        </w:rPr>
        <w:t>ein Thema für d</w:t>
      </w:r>
      <w:r w:rsidR="009872CE" w:rsidRPr="005A2B04">
        <w:rPr>
          <w:sz w:val="24"/>
          <w:szCs w:val="24"/>
        </w:rPr>
        <w:t>ie</w:t>
      </w:r>
      <w:r w:rsidR="009872CE">
        <w:rPr>
          <w:sz w:val="24"/>
          <w:szCs w:val="24"/>
        </w:rPr>
        <w:t xml:space="preserve"> französ</w:t>
      </w:r>
      <w:r w:rsidR="009872CE">
        <w:rPr>
          <w:sz w:val="24"/>
          <w:szCs w:val="24"/>
        </w:rPr>
        <w:t>i</w:t>
      </w:r>
      <w:r w:rsidR="009872CE">
        <w:rPr>
          <w:sz w:val="24"/>
          <w:szCs w:val="24"/>
        </w:rPr>
        <w:t xml:space="preserve">sche Öffentlichkeit. </w:t>
      </w:r>
      <w:r w:rsidR="00D7632A">
        <w:rPr>
          <w:rStyle w:val="Funotenzeichen"/>
          <w:sz w:val="24"/>
          <w:szCs w:val="24"/>
        </w:rPr>
        <w:footnoteReference w:id="26"/>
      </w:r>
      <w:r w:rsidR="009872CE">
        <w:rPr>
          <w:sz w:val="24"/>
          <w:szCs w:val="24"/>
        </w:rPr>
        <w:t>Schon nach wenigen Monaten</w:t>
      </w:r>
      <w:r w:rsidR="002A20F0">
        <w:rPr>
          <w:sz w:val="24"/>
          <w:szCs w:val="24"/>
        </w:rPr>
        <w:t xml:space="preserve"> </w:t>
      </w:r>
      <w:r w:rsidR="00461FF0">
        <w:rPr>
          <w:sz w:val="24"/>
          <w:szCs w:val="24"/>
        </w:rPr>
        <w:t xml:space="preserve">jedoch </w:t>
      </w:r>
      <w:r w:rsidR="009872CE">
        <w:rPr>
          <w:sz w:val="24"/>
          <w:szCs w:val="24"/>
        </w:rPr>
        <w:t xml:space="preserve">griff </w:t>
      </w:r>
      <w:r w:rsidR="00461FF0">
        <w:rPr>
          <w:sz w:val="24"/>
          <w:szCs w:val="24"/>
        </w:rPr>
        <w:t>d</w:t>
      </w:r>
      <w:r w:rsidR="009872CE">
        <w:rPr>
          <w:sz w:val="24"/>
          <w:szCs w:val="24"/>
        </w:rPr>
        <w:t xml:space="preserve">er </w:t>
      </w:r>
      <w:r w:rsidR="00461FF0">
        <w:rPr>
          <w:sz w:val="24"/>
          <w:szCs w:val="24"/>
        </w:rPr>
        <w:t xml:space="preserve">Konflikt </w:t>
      </w:r>
      <w:r w:rsidR="00D7632A">
        <w:rPr>
          <w:sz w:val="24"/>
          <w:szCs w:val="24"/>
        </w:rPr>
        <w:t xml:space="preserve">auch </w:t>
      </w:r>
      <w:r w:rsidR="009872CE">
        <w:rPr>
          <w:sz w:val="24"/>
          <w:szCs w:val="24"/>
        </w:rPr>
        <w:t>auf das deutsche Exil über</w:t>
      </w:r>
      <w:r w:rsidR="00D9629B">
        <w:rPr>
          <w:sz w:val="24"/>
          <w:szCs w:val="24"/>
        </w:rPr>
        <w:t>,</w:t>
      </w:r>
      <w:r w:rsidR="00131C61">
        <w:rPr>
          <w:rStyle w:val="Funotenzeichen"/>
          <w:sz w:val="24"/>
          <w:szCs w:val="24"/>
        </w:rPr>
        <w:footnoteReference w:id="27"/>
      </w:r>
      <w:r w:rsidR="009872CE">
        <w:rPr>
          <w:sz w:val="24"/>
          <w:szCs w:val="24"/>
        </w:rPr>
        <w:t xml:space="preserve"> </w:t>
      </w:r>
      <w:r w:rsidR="00D9629B">
        <w:rPr>
          <w:sz w:val="24"/>
          <w:szCs w:val="24"/>
        </w:rPr>
        <w:t>und in der Folge beschäftigte er die internationale Öffentlichkeit. André</w:t>
      </w:r>
      <w:r w:rsidR="009872CE">
        <w:rPr>
          <w:sz w:val="24"/>
          <w:szCs w:val="24"/>
        </w:rPr>
        <w:t xml:space="preserve"> </w:t>
      </w:r>
      <w:r w:rsidR="006A28B3">
        <w:rPr>
          <w:sz w:val="24"/>
          <w:szCs w:val="24"/>
        </w:rPr>
        <w:t xml:space="preserve">Gide </w:t>
      </w:r>
      <w:r w:rsidR="00D9629B">
        <w:rPr>
          <w:sz w:val="24"/>
          <w:szCs w:val="24"/>
        </w:rPr>
        <w:t xml:space="preserve">war in den beiden Bücher </w:t>
      </w:r>
      <w:r w:rsidR="00AD308E">
        <w:rPr>
          <w:sz w:val="24"/>
          <w:szCs w:val="24"/>
        </w:rPr>
        <w:t xml:space="preserve">von den Positionen, die </w:t>
      </w:r>
      <w:r w:rsidR="009872CE">
        <w:rPr>
          <w:sz w:val="24"/>
          <w:szCs w:val="24"/>
        </w:rPr>
        <w:t>er auf dem Pariser Schriftstellerko</w:t>
      </w:r>
      <w:r w:rsidR="009872CE">
        <w:rPr>
          <w:sz w:val="24"/>
          <w:szCs w:val="24"/>
        </w:rPr>
        <w:t>n</w:t>
      </w:r>
      <w:r w:rsidR="009872CE">
        <w:rPr>
          <w:sz w:val="24"/>
          <w:szCs w:val="24"/>
        </w:rPr>
        <w:t xml:space="preserve">gress </w:t>
      </w:r>
      <w:r w:rsidR="00AD308E">
        <w:rPr>
          <w:sz w:val="24"/>
          <w:szCs w:val="24"/>
        </w:rPr>
        <w:t>formuliert hatte</w:t>
      </w:r>
      <w:r w:rsidR="009872CE">
        <w:rPr>
          <w:sz w:val="24"/>
          <w:szCs w:val="24"/>
        </w:rPr>
        <w:t>,</w:t>
      </w:r>
      <w:r w:rsidR="00AD308E">
        <w:rPr>
          <w:rStyle w:val="Funotenzeichen"/>
          <w:sz w:val="24"/>
          <w:szCs w:val="24"/>
        </w:rPr>
        <w:footnoteReference w:id="28"/>
      </w:r>
      <w:r w:rsidR="00AD308E">
        <w:rPr>
          <w:sz w:val="24"/>
          <w:szCs w:val="24"/>
        </w:rPr>
        <w:t xml:space="preserve"> de</w:t>
      </w:r>
      <w:r w:rsidR="00B44591">
        <w:rPr>
          <w:sz w:val="24"/>
          <w:szCs w:val="24"/>
        </w:rPr>
        <w:t>monstrativ</w:t>
      </w:r>
      <w:r w:rsidR="00AD308E">
        <w:rPr>
          <w:sz w:val="24"/>
          <w:szCs w:val="24"/>
        </w:rPr>
        <w:t xml:space="preserve"> ab</w:t>
      </w:r>
      <w:r w:rsidR="006A28B3">
        <w:rPr>
          <w:sz w:val="24"/>
          <w:szCs w:val="24"/>
        </w:rPr>
        <w:t>ge</w:t>
      </w:r>
      <w:r w:rsidR="00AD308E">
        <w:rPr>
          <w:sz w:val="24"/>
          <w:szCs w:val="24"/>
        </w:rPr>
        <w:t xml:space="preserve">rückt. </w:t>
      </w:r>
      <w:r w:rsidR="00D9629B">
        <w:rPr>
          <w:sz w:val="24"/>
          <w:szCs w:val="24"/>
        </w:rPr>
        <w:t xml:space="preserve">Beide Texte, insbesondere aber die </w:t>
      </w:r>
      <w:proofErr w:type="spellStart"/>
      <w:r w:rsidR="00D9629B">
        <w:rPr>
          <w:i/>
          <w:sz w:val="24"/>
          <w:szCs w:val="24"/>
        </w:rPr>
        <w:t>Reto</w:t>
      </w:r>
      <w:r w:rsidR="00D9629B">
        <w:rPr>
          <w:i/>
          <w:sz w:val="24"/>
          <w:szCs w:val="24"/>
        </w:rPr>
        <w:t>u</w:t>
      </w:r>
      <w:r w:rsidR="00D9629B">
        <w:rPr>
          <w:i/>
          <w:sz w:val="24"/>
          <w:szCs w:val="24"/>
        </w:rPr>
        <w:lastRenderedPageBreak/>
        <w:t>ches</w:t>
      </w:r>
      <w:proofErr w:type="spellEnd"/>
      <w:r w:rsidR="00D9629B">
        <w:rPr>
          <w:i/>
          <w:sz w:val="24"/>
          <w:szCs w:val="24"/>
        </w:rPr>
        <w:t>,</w:t>
      </w:r>
      <w:r w:rsidR="006A28B3">
        <w:rPr>
          <w:sz w:val="24"/>
          <w:szCs w:val="24"/>
        </w:rPr>
        <w:t xml:space="preserve"> destruierten </w:t>
      </w:r>
      <w:r w:rsidR="00D9629B">
        <w:rPr>
          <w:sz w:val="24"/>
          <w:szCs w:val="24"/>
        </w:rPr>
        <w:t>anhand von</w:t>
      </w:r>
      <w:r w:rsidR="006A28B3">
        <w:rPr>
          <w:sz w:val="24"/>
          <w:szCs w:val="24"/>
        </w:rPr>
        <w:t xml:space="preserve"> eindrucksvollen Beispielen </w:t>
      </w:r>
      <w:r w:rsidR="00AD308E">
        <w:rPr>
          <w:sz w:val="24"/>
          <w:szCs w:val="24"/>
        </w:rPr>
        <w:t>das</w:t>
      </w:r>
      <w:r w:rsidR="006A28B3">
        <w:rPr>
          <w:sz w:val="24"/>
          <w:szCs w:val="24"/>
        </w:rPr>
        <w:t xml:space="preserve"> </w:t>
      </w:r>
      <w:r w:rsidR="009872CE">
        <w:rPr>
          <w:sz w:val="24"/>
          <w:szCs w:val="24"/>
        </w:rPr>
        <w:t>unkritisch-harmonisierend</w:t>
      </w:r>
      <w:r w:rsidR="00AD308E">
        <w:rPr>
          <w:sz w:val="24"/>
          <w:szCs w:val="24"/>
        </w:rPr>
        <w:t>e</w:t>
      </w:r>
      <w:r w:rsidR="009872CE">
        <w:rPr>
          <w:sz w:val="24"/>
          <w:szCs w:val="24"/>
        </w:rPr>
        <w:t xml:space="preserve"> Bild der Sowjetunion, die Utopie </w:t>
      </w:r>
      <w:r w:rsidR="00AD308E">
        <w:rPr>
          <w:sz w:val="24"/>
          <w:szCs w:val="24"/>
        </w:rPr>
        <w:t>der „größtmöglichen Entfaltung des Menschen“</w:t>
      </w:r>
      <w:r w:rsidR="00740205">
        <w:rPr>
          <w:sz w:val="24"/>
          <w:szCs w:val="24"/>
        </w:rPr>
        <w:t>,</w:t>
      </w:r>
      <w:r w:rsidR="00740205">
        <w:rPr>
          <w:rStyle w:val="Funotenzeichen"/>
          <w:sz w:val="24"/>
          <w:szCs w:val="24"/>
        </w:rPr>
        <w:footnoteReference w:id="29"/>
      </w:r>
      <w:r w:rsidR="00AD308E">
        <w:rPr>
          <w:sz w:val="24"/>
          <w:szCs w:val="24"/>
        </w:rPr>
        <w:t xml:space="preserve"> </w:t>
      </w:r>
      <w:r w:rsidR="006A28B3">
        <w:rPr>
          <w:sz w:val="24"/>
          <w:szCs w:val="24"/>
        </w:rPr>
        <w:t xml:space="preserve">das Gide </w:t>
      </w:r>
      <w:r w:rsidR="00D9629B">
        <w:rPr>
          <w:sz w:val="24"/>
          <w:szCs w:val="24"/>
        </w:rPr>
        <w:t xml:space="preserve">auf dem </w:t>
      </w:r>
      <w:r w:rsidR="006A28B3">
        <w:rPr>
          <w:sz w:val="24"/>
          <w:szCs w:val="24"/>
        </w:rPr>
        <w:t>Pariser Kongress formuliert hatte</w:t>
      </w:r>
      <w:r w:rsidR="00AD308E">
        <w:rPr>
          <w:sz w:val="24"/>
          <w:szCs w:val="24"/>
        </w:rPr>
        <w:t xml:space="preserve">. </w:t>
      </w:r>
    </w:p>
    <w:p w:rsidR="009872CE" w:rsidRDefault="002A20F0" w:rsidP="00E41506">
      <w:pPr>
        <w:spacing w:after="0"/>
        <w:ind w:firstLine="708"/>
        <w:jc w:val="both"/>
        <w:rPr>
          <w:sz w:val="24"/>
          <w:szCs w:val="24"/>
        </w:rPr>
      </w:pPr>
      <w:r>
        <w:rPr>
          <w:sz w:val="24"/>
          <w:szCs w:val="24"/>
        </w:rPr>
        <w:t>Dieser</w:t>
      </w:r>
      <w:r w:rsidR="006A28B3">
        <w:rPr>
          <w:sz w:val="24"/>
          <w:szCs w:val="24"/>
        </w:rPr>
        <w:t xml:space="preserve"> </w:t>
      </w:r>
      <w:r>
        <w:rPr>
          <w:sz w:val="24"/>
          <w:szCs w:val="24"/>
        </w:rPr>
        <w:t xml:space="preserve">Positionswechsel </w:t>
      </w:r>
      <w:r w:rsidR="006A28B3">
        <w:rPr>
          <w:sz w:val="24"/>
          <w:szCs w:val="24"/>
        </w:rPr>
        <w:t>war kein bloß literarisch relevanter Vorgang</w:t>
      </w:r>
      <w:r w:rsidR="008C0129">
        <w:rPr>
          <w:sz w:val="24"/>
          <w:szCs w:val="24"/>
        </w:rPr>
        <w:t>, denn dazu war die Autorität Gides als des führenden französischen Schriftstellers zu groß</w:t>
      </w:r>
      <w:r w:rsidR="006A28B3">
        <w:rPr>
          <w:sz w:val="24"/>
          <w:szCs w:val="24"/>
        </w:rPr>
        <w:t xml:space="preserve">. </w:t>
      </w:r>
      <w:r w:rsidR="00AD308E">
        <w:rPr>
          <w:sz w:val="24"/>
          <w:szCs w:val="24"/>
        </w:rPr>
        <w:t>D</w:t>
      </w:r>
      <w:r>
        <w:rPr>
          <w:sz w:val="24"/>
          <w:szCs w:val="24"/>
        </w:rPr>
        <w:t xml:space="preserve">urch </w:t>
      </w:r>
      <w:r w:rsidR="008C0129">
        <w:rPr>
          <w:sz w:val="24"/>
          <w:szCs w:val="24"/>
        </w:rPr>
        <w:t>Gides Ä</w:t>
      </w:r>
      <w:r w:rsidR="008C0129">
        <w:rPr>
          <w:sz w:val="24"/>
          <w:szCs w:val="24"/>
        </w:rPr>
        <w:t>u</w:t>
      </w:r>
      <w:r w:rsidR="008C0129">
        <w:rPr>
          <w:sz w:val="24"/>
          <w:szCs w:val="24"/>
        </w:rPr>
        <w:t>ßerungen</w:t>
      </w:r>
      <w:r>
        <w:rPr>
          <w:sz w:val="24"/>
          <w:szCs w:val="24"/>
        </w:rPr>
        <w:t xml:space="preserve"> </w:t>
      </w:r>
      <w:r w:rsidR="00AD308E">
        <w:rPr>
          <w:sz w:val="24"/>
          <w:szCs w:val="24"/>
        </w:rPr>
        <w:t xml:space="preserve">wurde das Modell einer </w:t>
      </w:r>
      <w:r>
        <w:rPr>
          <w:sz w:val="24"/>
          <w:szCs w:val="24"/>
        </w:rPr>
        <w:t xml:space="preserve">zukünftigen </w:t>
      </w:r>
      <w:r w:rsidR="00AD308E" w:rsidRPr="00D9629B">
        <w:rPr>
          <w:i/>
          <w:sz w:val="24"/>
          <w:szCs w:val="24"/>
        </w:rPr>
        <w:t>sozialistischen</w:t>
      </w:r>
      <w:r w:rsidR="00AD308E">
        <w:rPr>
          <w:sz w:val="24"/>
          <w:szCs w:val="24"/>
        </w:rPr>
        <w:t xml:space="preserve"> Gesellschaft,</w:t>
      </w:r>
      <w:r w:rsidR="009872CE">
        <w:rPr>
          <w:sz w:val="24"/>
          <w:szCs w:val="24"/>
        </w:rPr>
        <w:t xml:space="preserve"> das in </w:t>
      </w:r>
      <w:r>
        <w:rPr>
          <w:sz w:val="24"/>
          <w:szCs w:val="24"/>
        </w:rPr>
        <w:t>allen</w:t>
      </w:r>
      <w:r w:rsidR="009872CE">
        <w:rPr>
          <w:sz w:val="24"/>
          <w:szCs w:val="24"/>
        </w:rPr>
        <w:t xml:space="preserve"> Di</w:t>
      </w:r>
      <w:r w:rsidR="009872CE">
        <w:rPr>
          <w:sz w:val="24"/>
          <w:szCs w:val="24"/>
        </w:rPr>
        <w:t>s</w:t>
      </w:r>
      <w:r w:rsidR="009872CE">
        <w:rPr>
          <w:sz w:val="24"/>
          <w:szCs w:val="24"/>
        </w:rPr>
        <w:t>kussion</w:t>
      </w:r>
      <w:r>
        <w:rPr>
          <w:sz w:val="24"/>
          <w:szCs w:val="24"/>
        </w:rPr>
        <w:t>en</w:t>
      </w:r>
      <w:r w:rsidR="009872CE">
        <w:rPr>
          <w:sz w:val="24"/>
          <w:szCs w:val="24"/>
        </w:rPr>
        <w:t xml:space="preserve"> über „Einheitsfront“ bzw. „Volksfront“</w:t>
      </w:r>
      <w:r>
        <w:rPr>
          <w:sz w:val="24"/>
          <w:szCs w:val="24"/>
        </w:rPr>
        <w:t xml:space="preserve"> eine bedeutende Rolle spielte</w:t>
      </w:r>
      <w:r w:rsidR="00740205">
        <w:rPr>
          <w:sz w:val="24"/>
          <w:szCs w:val="24"/>
        </w:rPr>
        <w:t xml:space="preserve">, </w:t>
      </w:r>
      <w:r w:rsidR="00B44591">
        <w:rPr>
          <w:sz w:val="24"/>
          <w:szCs w:val="24"/>
        </w:rPr>
        <w:t>i</w:t>
      </w:r>
      <w:r w:rsidR="00740205">
        <w:rPr>
          <w:sz w:val="24"/>
          <w:szCs w:val="24"/>
        </w:rPr>
        <w:t>n Frage gestellt</w:t>
      </w:r>
      <w:r w:rsidR="00B44591">
        <w:rPr>
          <w:sz w:val="24"/>
          <w:szCs w:val="24"/>
        </w:rPr>
        <w:t xml:space="preserve">. Aber auch </w:t>
      </w:r>
      <w:r>
        <w:rPr>
          <w:sz w:val="24"/>
          <w:szCs w:val="24"/>
        </w:rPr>
        <w:t>dab</w:t>
      </w:r>
      <w:r w:rsidR="00B44591">
        <w:rPr>
          <w:sz w:val="24"/>
          <w:szCs w:val="24"/>
        </w:rPr>
        <w:t>ei blieb es nicht</w:t>
      </w:r>
      <w:r>
        <w:rPr>
          <w:sz w:val="24"/>
          <w:szCs w:val="24"/>
        </w:rPr>
        <w:t>. Von der Volksfrontdiskussion weitete sich der Ko</w:t>
      </w:r>
      <w:r>
        <w:rPr>
          <w:sz w:val="24"/>
          <w:szCs w:val="24"/>
        </w:rPr>
        <w:t>n</w:t>
      </w:r>
      <w:r>
        <w:rPr>
          <w:sz w:val="24"/>
          <w:szCs w:val="24"/>
        </w:rPr>
        <w:t>flikt auf</w:t>
      </w:r>
      <w:r w:rsidR="00B44591">
        <w:rPr>
          <w:sz w:val="24"/>
          <w:szCs w:val="24"/>
        </w:rPr>
        <w:t xml:space="preserve"> die </w:t>
      </w:r>
      <w:r>
        <w:rPr>
          <w:sz w:val="24"/>
          <w:szCs w:val="24"/>
        </w:rPr>
        <w:t xml:space="preserve">Thematisierung der </w:t>
      </w:r>
      <w:r w:rsidR="00B44591">
        <w:rPr>
          <w:sz w:val="24"/>
          <w:szCs w:val="24"/>
        </w:rPr>
        <w:t xml:space="preserve">Moskauer Prozesse </w:t>
      </w:r>
      <w:r w:rsidR="008C0129">
        <w:rPr>
          <w:sz w:val="24"/>
          <w:szCs w:val="24"/>
        </w:rPr>
        <w:t xml:space="preserve">aus </w:t>
      </w:r>
      <w:r w:rsidR="00B44591">
        <w:rPr>
          <w:sz w:val="24"/>
          <w:szCs w:val="24"/>
        </w:rPr>
        <w:t>und – von Gide direkt angesprochen – au</w:t>
      </w:r>
      <w:r>
        <w:rPr>
          <w:sz w:val="24"/>
          <w:szCs w:val="24"/>
        </w:rPr>
        <w:t>f</w:t>
      </w:r>
      <w:r w:rsidR="00B44591">
        <w:rPr>
          <w:sz w:val="24"/>
          <w:szCs w:val="24"/>
        </w:rPr>
        <w:t xml:space="preserve"> die </w:t>
      </w:r>
      <w:r w:rsidR="00D9629B">
        <w:rPr>
          <w:sz w:val="24"/>
          <w:szCs w:val="24"/>
        </w:rPr>
        <w:t xml:space="preserve">der </w:t>
      </w:r>
      <w:r w:rsidR="00B44591">
        <w:rPr>
          <w:sz w:val="24"/>
          <w:szCs w:val="24"/>
        </w:rPr>
        <w:t>stalinistischen Säuberungen</w:t>
      </w:r>
      <w:r w:rsidR="008C0129">
        <w:rPr>
          <w:sz w:val="24"/>
          <w:szCs w:val="24"/>
        </w:rPr>
        <w:t xml:space="preserve"> generell</w:t>
      </w:r>
      <w:r>
        <w:rPr>
          <w:sz w:val="24"/>
          <w:szCs w:val="24"/>
        </w:rPr>
        <w:t xml:space="preserve">. </w:t>
      </w:r>
      <w:r w:rsidR="00D9629B">
        <w:rPr>
          <w:sz w:val="24"/>
          <w:szCs w:val="24"/>
        </w:rPr>
        <w:t>Die Repression, der Terror</w:t>
      </w:r>
      <w:r>
        <w:rPr>
          <w:sz w:val="24"/>
          <w:szCs w:val="24"/>
        </w:rPr>
        <w:t xml:space="preserve"> rückten von nun an</w:t>
      </w:r>
      <w:r w:rsidR="00B44591">
        <w:rPr>
          <w:sz w:val="24"/>
          <w:szCs w:val="24"/>
        </w:rPr>
        <w:t xml:space="preserve"> immer stärker ins Augenmerk der Öffentlichkeit.</w:t>
      </w:r>
    </w:p>
    <w:p w:rsidR="002A20F0" w:rsidRDefault="002A20F0" w:rsidP="00E41506">
      <w:pPr>
        <w:spacing w:after="0"/>
        <w:ind w:firstLine="708"/>
        <w:jc w:val="both"/>
        <w:rPr>
          <w:sz w:val="24"/>
          <w:szCs w:val="24"/>
        </w:rPr>
      </w:pPr>
    </w:p>
    <w:p w:rsidR="009872CE" w:rsidRPr="005A2B04" w:rsidRDefault="009872CE" w:rsidP="00E41506">
      <w:pPr>
        <w:spacing w:after="0"/>
        <w:jc w:val="both"/>
        <w:rPr>
          <w:sz w:val="24"/>
          <w:szCs w:val="24"/>
        </w:rPr>
      </w:pPr>
      <w:r>
        <w:rPr>
          <w:sz w:val="24"/>
          <w:szCs w:val="24"/>
        </w:rPr>
        <w:tab/>
      </w:r>
      <w:r w:rsidR="008C0129">
        <w:rPr>
          <w:sz w:val="24"/>
          <w:szCs w:val="24"/>
        </w:rPr>
        <w:t xml:space="preserve">André </w:t>
      </w:r>
      <w:r>
        <w:rPr>
          <w:sz w:val="24"/>
          <w:szCs w:val="24"/>
        </w:rPr>
        <w:t xml:space="preserve">Gide hatte </w:t>
      </w:r>
      <w:r w:rsidR="00D02542">
        <w:rPr>
          <w:sz w:val="24"/>
          <w:szCs w:val="24"/>
        </w:rPr>
        <w:t>Mitte Juni</w:t>
      </w:r>
      <w:r w:rsidR="00D9629B">
        <w:rPr>
          <w:sz w:val="24"/>
          <w:szCs w:val="24"/>
        </w:rPr>
        <w:t xml:space="preserve"> 1936 </w:t>
      </w:r>
      <w:r>
        <w:rPr>
          <w:sz w:val="24"/>
          <w:szCs w:val="24"/>
        </w:rPr>
        <w:t xml:space="preserve">zusammen mit </w:t>
      </w:r>
      <w:r w:rsidR="00B44591">
        <w:rPr>
          <w:sz w:val="24"/>
          <w:szCs w:val="24"/>
        </w:rPr>
        <w:t xml:space="preserve">fünf </w:t>
      </w:r>
      <w:r>
        <w:rPr>
          <w:sz w:val="24"/>
          <w:szCs w:val="24"/>
        </w:rPr>
        <w:t>Freunden</w:t>
      </w:r>
      <w:r w:rsidR="00B44591">
        <w:rPr>
          <w:sz w:val="24"/>
          <w:szCs w:val="24"/>
        </w:rPr>
        <w:t xml:space="preserve"> eine </w:t>
      </w:r>
      <w:r w:rsidR="0038458C">
        <w:rPr>
          <w:sz w:val="24"/>
          <w:szCs w:val="24"/>
        </w:rPr>
        <w:t xml:space="preserve">zehnwöchige </w:t>
      </w:r>
      <w:r w:rsidR="00B44591">
        <w:rPr>
          <w:sz w:val="24"/>
          <w:szCs w:val="24"/>
        </w:rPr>
        <w:t xml:space="preserve">Reise </w:t>
      </w:r>
      <w:r w:rsidR="0038458C">
        <w:rPr>
          <w:sz w:val="24"/>
          <w:szCs w:val="24"/>
        </w:rPr>
        <w:t>durch</w:t>
      </w:r>
      <w:r w:rsidR="00B44591">
        <w:rPr>
          <w:sz w:val="24"/>
          <w:szCs w:val="24"/>
        </w:rPr>
        <w:t xml:space="preserve"> die Sowjetunion unternommen.</w:t>
      </w:r>
      <w:r w:rsidR="002A20F0">
        <w:rPr>
          <w:rStyle w:val="Funotenzeichen"/>
          <w:sz w:val="24"/>
          <w:szCs w:val="24"/>
        </w:rPr>
        <w:footnoteReference w:id="30"/>
      </w:r>
      <w:r w:rsidR="00B44591">
        <w:rPr>
          <w:sz w:val="24"/>
          <w:szCs w:val="24"/>
        </w:rPr>
        <w:t xml:space="preserve"> </w:t>
      </w:r>
      <w:r w:rsidR="00690C13" w:rsidRPr="00690C13">
        <w:rPr>
          <w:sz w:val="24"/>
          <w:szCs w:val="24"/>
        </w:rPr>
        <w:t>Seine Beglei</w:t>
      </w:r>
      <w:r w:rsidR="00690C13">
        <w:rPr>
          <w:sz w:val="24"/>
          <w:szCs w:val="24"/>
        </w:rPr>
        <w:t>ter war</w:t>
      </w:r>
      <w:r w:rsidR="002A20F0">
        <w:rPr>
          <w:sz w:val="24"/>
          <w:szCs w:val="24"/>
        </w:rPr>
        <w:t>e</w:t>
      </w:r>
      <w:r w:rsidR="00690C13">
        <w:rPr>
          <w:sz w:val="24"/>
          <w:szCs w:val="24"/>
        </w:rPr>
        <w:t>n</w:t>
      </w:r>
      <w:r w:rsidR="00B44591" w:rsidRPr="00690C13">
        <w:rPr>
          <w:sz w:val="24"/>
          <w:szCs w:val="24"/>
        </w:rPr>
        <w:t xml:space="preserve"> </w:t>
      </w:r>
      <w:r w:rsidR="004514A0">
        <w:rPr>
          <w:sz w:val="24"/>
          <w:szCs w:val="24"/>
        </w:rPr>
        <w:t xml:space="preserve">der Holländer </w:t>
      </w:r>
      <w:proofErr w:type="spellStart"/>
      <w:r w:rsidR="00B44591" w:rsidRPr="00690C13">
        <w:rPr>
          <w:sz w:val="24"/>
          <w:szCs w:val="24"/>
        </w:rPr>
        <w:t>Jef</w:t>
      </w:r>
      <w:proofErr w:type="spellEnd"/>
      <w:r w:rsidR="00B44591" w:rsidRPr="00690C13">
        <w:rPr>
          <w:sz w:val="24"/>
          <w:szCs w:val="24"/>
        </w:rPr>
        <w:t xml:space="preserve"> Last</w:t>
      </w:r>
      <w:r w:rsidR="004514A0">
        <w:rPr>
          <w:sz w:val="24"/>
          <w:szCs w:val="24"/>
        </w:rPr>
        <w:t xml:space="preserve"> und die Franzosen </w:t>
      </w:r>
      <w:r w:rsidR="00B44591" w:rsidRPr="00690C13">
        <w:rPr>
          <w:sz w:val="24"/>
          <w:szCs w:val="24"/>
        </w:rPr>
        <w:t xml:space="preserve">Jacques </w:t>
      </w:r>
      <w:proofErr w:type="spellStart"/>
      <w:r w:rsidR="00B44591" w:rsidRPr="00690C13">
        <w:rPr>
          <w:sz w:val="24"/>
          <w:szCs w:val="24"/>
        </w:rPr>
        <w:t>Schiffrin</w:t>
      </w:r>
      <w:proofErr w:type="spellEnd"/>
      <w:r w:rsidR="00690C13">
        <w:rPr>
          <w:sz w:val="24"/>
          <w:szCs w:val="24"/>
        </w:rPr>
        <w:t xml:space="preserve">, </w:t>
      </w:r>
      <w:r w:rsidR="00B44591" w:rsidRPr="00690C13">
        <w:rPr>
          <w:sz w:val="24"/>
          <w:szCs w:val="24"/>
        </w:rPr>
        <w:t xml:space="preserve">Eugène </w:t>
      </w:r>
      <w:proofErr w:type="spellStart"/>
      <w:r w:rsidR="00B44591" w:rsidRPr="00690C13">
        <w:rPr>
          <w:sz w:val="24"/>
          <w:szCs w:val="24"/>
        </w:rPr>
        <w:t>Dabit</w:t>
      </w:r>
      <w:proofErr w:type="spellEnd"/>
      <w:r w:rsidR="00B44591" w:rsidRPr="00690C13">
        <w:rPr>
          <w:sz w:val="24"/>
          <w:szCs w:val="24"/>
        </w:rPr>
        <w:t>, Pierre Herbart</w:t>
      </w:r>
      <w:r w:rsidR="002A20F0">
        <w:rPr>
          <w:sz w:val="24"/>
          <w:szCs w:val="24"/>
        </w:rPr>
        <w:t xml:space="preserve"> und</w:t>
      </w:r>
      <w:r w:rsidR="00B44591" w:rsidRPr="00690C13">
        <w:rPr>
          <w:sz w:val="24"/>
          <w:szCs w:val="24"/>
        </w:rPr>
        <w:t xml:space="preserve"> Louis </w:t>
      </w:r>
      <w:proofErr w:type="spellStart"/>
      <w:r w:rsidR="00B44591" w:rsidRPr="00690C13">
        <w:rPr>
          <w:sz w:val="24"/>
          <w:szCs w:val="24"/>
        </w:rPr>
        <w:t>Guilloux</w:t>
      </w:r>
      <w:proofErr w:type="spellEnd"/>
      <w:r w:rsidR="00B44591" w:rsidRPr="00690C13">
        <w:rPr>
          <w:sz w:val="24"/>
          <w:szCs w:val="24"/>
        </w:rPr>
        <w:t xml:space="preserve">. </w:t>
      </w:r>
      <w:r w:rsidR="00B44591">
        <w:rPr>
          <w:sz w:val="24"/>
          <w:szCs w:val="24"/>
        </w:rPr>
        <w:t xml:space="preserve">Zwei </w:t>
      </w:r>
      <w:r w:rsidR="00D9629B">
        <w:rPr>
          <w:sz w:val="24"/>
          <w:szCs w:val="24"/>
        </w:rPr>
        <w:t xml:space="preserve">der Begleiter waren Kommunisten; sie </w:t>
      </w:r>
      <w:r w:rsidR="00B44591">
        <w:rPr>
          <w:sz w:val="24"/>
          <w:szCs w:val="24"/>
        </w:rPr>
        <w:t>gehörte</w:t>
      </w:r>
      <w:r w:rsidR="004514A0">
        <w:rPr>
          <w:sz w:val="24"/>
          <w:szCs w:val="24"/>
        </w:rPr>
        <w:t>n, wie Gide</w:t>
      </w:r>
      <w:r w:rsidR="00B44591">
        <w:rPr>
          <w:sz w:val="24"/>
          <w:szCs w:val="24"/>
        </w:rPr>
        <w:t xml:space="preserve"> </w:t>
      </w:r>
      <w:r w:rsidR="004514A0">
        <w:rPr>
          <w:sz w:val="24"/>
          <w:szCs w:val="24"/>
        </w:rPr>
        <w:t xml:space="preserve">schreibt, </w:t>
      </w:r>
      <w:r w:rsidR="00B44591">
        <w:rPr>
          <w:sz w:val="24"/>
          <w:szCs w:val="24"/>
        </w:rPr>
        <w:t>„seit längerem sehr hi</w:t>
      </w:r>
      <w:r w:rsidR="00B44591">
        <w:rPr>
          <w:sz w:val="24"/>
          <w:szCs w:val="24"/>
        </w:rPr>
        <w:t>n</w:t>
      </w:r>
      <w:r w:rsidR="00B44591">
        <w:rPr>
          <w:sz w:val="24"/>
          <w:szCs w:val="24"/>
        </w:rPr>
        <w:t>gebungsvoll und sehr aktiv der Kommunistischen Partei an“</w:t>
      </w:r>
      <w:r w:rsidR="004514A0">
        <w:rPr>
          <w:sz w:val="24"/>
          <w:szCs w:val="24"/>
        </w:rPr>
        <w:t>.</w:t>
      </w:r>
      <w:r w:rsidR="00B44591">
        <w:rPr>
          <w:sz w:val="24"/>
          <w:szCs w:val="24"/>
        </w:rPr>
        <w:t xml:space="preserve"> </w:t>
      </w:r>
      <w:proofErr w:type="spellStart"/>
      <w:r w:rsidR="004514A0">
        <w:rPr>
          <w:sz w:val="24"/>
          <w:szCs w:val="24"/>
        </w:rPr>
        <w:t>Jef</w:t>
      </w:r>
      <w:proofErr w:type="spellEnd"/>
      <w:r w:rsidR="004514A0">
        <w:rPr>
          <w:sz w:val="24"/>
          <w:szCs w:val="24"/>
        </w:rPr>
        <w:t xml:space="preserve"> Last und Jacques </w:t>
      </w:r>
      <w:proofErr w:type="spellStart"/>
      <w:r w:rsidR="004514A0">
        <w:rPr>
          <w:sz w:val="24"/>
          <w:szCs w:val="24"/>
        </w:rPr>
        <w:t>Schiffrin</w:t>
      </w:r>
      <w:proofErr w:type="spellEnd"/>
      <w:r w:rsidR="00B44591">
        <w:rPr>
          <w:sz w:val="24"/>
          <w:szCs w:val="24"/>
        </w:rPr>
        <w:t xml:space="preserve"> sprachen Russisch</w:t>
      </w:r>
      <w:r w:rsidR="004514A0">
        <w:rPr>
          <w:sz w:val="24"/>
          <w:szCs w:val="24"/>
        </w:rPr>
        <w:t xml:space="preserve"> – </w:t>
      </w:r>
      <w:proofErr w:type="spellStart"/>
      <w:r w:rsidR="00D9629B">
        <w:rPr>
          <w:sz w:val="24"/>
          <w:szCs w:val="24"/>
        </w:rPr>
        <w:t>Jef</w:t>
      </w:r>
      <w:proofErr w:type="spellEnd"/>
      <w:r w:rsidR="00D9629B">
        <w:rPr>
          <w:sz w:val="24"/>
          <w:szCs w:val="24"/>
        </w:rPr>
        <w:t xml:space="preserve"> Last</w:t>
      </w:r>
      <w:r w:rsidR="00B44591">
        <w:rPr>
          <w:sz w:val="24"/>
          <w:szCs w:val="24"/>
        </w:rPr>
        <w:t xml:space="preserve"> war schon dreimal in der Sowjetunion gewesen</w:t>
      </w:r>
      <w:r w:rsidR="004514A0">
        <w:rPr>
          <w:sz w:val="24"/>
          <w:szCs w:val="24"/>
        </w:rPr>
        <w:t>, kannte also die Sowjetunion bereits aus eigener Anschauung –</w:t>
      </w:r>
      <w:r w:rsidR="00B44591">
        <w:rPr>
          <w:sz w:val="24"/>
          <w:szCs w:val="24"/>
        </w:rPr>
        <w:t xml:space="preserve">, </w:t>
      </w:r>
      <w:r w:rsidR="004514A0">
        <w:rPr>
          <w:sz w:val="24"/>
          <w:szCs w:val="24"/>
        </w:rPr>
        <w:t xml:space="preserve">und </w:t>
      </w:r>
      <w:r w:rsidR="00B44591">
        <w:rPr>
          <w:sz w:val="24"/>
          <w:szCs w:val="24"/>
        </w:rPr>
        <w:t xml:space="preserve">Pierre Herbart wohnte </w:t>
      </w:r>
      <w:r w:rsidR="006E550C">
        <w:rPr>
          <w:sz w:val="24"/>
          <w:szCs w:val="24"/>
        </w:rPr>
        <w:t>– wie Gide schreibt</w:t>
      </w:r>
      <w:r w:rsidR="006E550C">
        <w:rPr>
          <w:rStyle w:val="Funotenzeichen"/>
          <w:sz w:val="24"/>
          <w:szCs w:val="24"/>
        </w:rPr>
        <w:footnoteReference w:id="31"/>
      </w:r>
      <w:r w:rsidR="006E550C">
        <w:rPr>
          <w:sz w:val="24"/>
          <w:szCs w:val="24"/>
        </w:rPr>
        <w:t xml:space="preserve"> – „s</w:t>
      </w:r>
      <w:r w:rsidR="00B44591">
        <w:rPr>
          <w:sz w:val="24"/>
          <w:szCs w:val="24"/>
        </w:rPr>
        <w:t>eit mehr al</w:t>
      </w:r>
      <w:r w:rsidR="006E550C">
        <w:rPr>
          <w:sz w:val="24"/>
          <w:szCs w:val="24"/>
        </w:rPr>
        <w:t>s</w:t>
      </w:r>
      <w:r w:rsidR="00B44591">
        <w:rPr>
          <w:sz w:val="24"/>
          <w:szCs w:val="24"/>
        </w:rPr>
        <w:t xml:space="preserve"> einem halben Jahr in Moskau. Er leitete dort eine bekannte Prop</w:t>
      </w:r>
      <w:r w:rsidR="00B44591">
        <w:rPr>
          <w:sz w:val="24"/>
          <w:szCs w:val="24"/>
        </w:rPr>
        <w:t>a</w:t>
      </w:r>
      <w:r w:rsidR="00B44591">
        <w:rPr>
          <w:sz w:val="24"/>
          <w:szCs w:val="24"/>
        </w:rPr>
        <w:t xml:space="preserve">gandazeitschrift, die </w:t>
      </w:r>
      <w:r w:rsidR="00B44591">
        <w:rPr>
          <w:i/>
          <w:sz w:val="24"/>
          <w:szCs w:val="24"/>
        </w:rPr>
        <w:t>Internationale Literatur</w:t>
      </w:r>
      <w:r w:rsidR="00B44591">
        <w:rPr>
          <w:sz w:val="24"/>
          <w:szCs w:val="24"/>
        </w:rPr>
        <w:t xml:space="preserve">, die gleichzeitig in vier Sprachen erschien, und war daher mit dem Intrigenspiel des Milieus recht vertraut und auch allgemein gut informiert. Begabt darüber hinaus mit besonderer Scharfsichtigkeit, hat er nicht wenig dazu beigetragen, </w:t>
      </w:r>
      <w:proofErr w:type="spellStart"/>
      <w:r w:rsidR="00B44591">
        <w:rPr>
          <w:sz w:val="24"/>
          <w:szCs w:val="24"/>
        </w:rPr>
        <w:t>daß</w:t>
      </w:r>
      <w:proofErr w:type="spellEnd"/>
      <w:r w:rsidR="00B44591">
        <w:rPr>
          <w:sz w:val="24"/>
          <w:szCs w:val="24"/>
        </w:rPr>
        <w:t xml:space="preserve"> ich schließlich begriff; ich will sagen: E</w:t>
      </w:r>
      <w:r w:rsidR="004514A0">
        <w:rPr>
          <w:sz w:val="24"/>
          <w:szCs w:val="24"/>
        </w:rPr>
        <w:t xml:space="preserve">r </w:t>
      </w:r>
      <w:r w:rsidR="00B44591">
        <w:rPr>
          <w:sz w:val="24"/>
          <w:szCs w:val="24"/>
        </w:rPr>
        <w:t>hat vieles im richtigen Licht erscheinen lassen“</w:t>
      </w:r>
      <w:r w:rsidR="006E550C">
        <w:rPr>
          <w:sz w:val="24"/>
          <w:szCs w:val="24"/>
        </w:rPr>
        <w:t>.</w:t>
      </w:r>
      <w:r w:rsidR="008C0129">
        <w:rPr>
          <w:sz w:val="24"/>
          <w:szCs w:val="24"/>
        </w:rPr>
        <w:t xml:space="preserve"> Diese Kenntnis der Manipulationsmechanismen war w</w:t>
      </w:r>
      <w:r w:rsidR="000175A1">
        <w:rPr>
          <w:sz w:val="24"/>
          <w:szCs w:val="24"/>
        </w:rPr>
        <w:t>ichtig, um überhaupt die Fassade von Freundlichkeit und Zuvorkommenheit hinterfragen zu können.</w:t>
      </w:r>
      <w:r w:rsidR="000175A1">
        <w:rPr>
          <w:rStyle w:val="Funotenzeichen"/>
          <w:sz w:val="24"/>
          <w:szCs w:val="24"/>
        </w:rPr>
        <w:footnoteReference w:id="32"/>
      </w:r>
    </w:p>
    <w:p w:rsidR="009872CE" w:rsidRDefault="004514A0" w:rsidP="00E41506">
      <w:pPr>
        <w:spacing w:after="0"/>
        <w:jc w:val="both"/>
        <w:rPr>
          <w:sz w:val="24"/>
          <w:szCs w:val="24"/>
        </w:rPr>
      </w:pPr>
      <w:r>
        <w:rPr>
          <w:sz w:val="24"/>
          <w:szCs w:val="24"/>
        </w:rPr>
        <w:tab/>
      </w:r>
      <w:r>
        <w:rPr>
          <w:i/>
          <w:sz w:val="24"/>
          <w:szCs w:val="24"/>
        </w:rPr>
        <w:t xml:space="preserve">Retour de </w:t>
      </w:r>
      <w:proofErr w:type="spellStart"/>
      <w:r>
        <w:rPr>
          <w:i/>
          <w:sz w:val="24"/>
          <w:szCs w:val="24"/>
        </w:rPr>
        <w:t>l’USSR</w:t>
      </w:r>
      <w:proofErr w:type="spellEnd"/>
      <w:r>
        <w:rPr>
          <w:i/>
          <w:sz w:val="24"/>
          <w:szCs w:val="24"/>
        </w:rPr>
        <w:t xml:space="preserve"> </w:t>
      </w:r>
      <w:r w:rsidR="009872CE">
        <w:rPr>
          <w:sz w:val="24"/>
          <w:szCs w:val="24"/>
        </w:rPr>
        <w:t>ist ein B</w:t>
      </w:r>
      <w:r>
        <w:rPr>
          <w:sz w:val="24"/>
          <w:szCs w:val="24"/>
        </w:rPr>
        <w:t>ericht</w:t>
      </w:r>
      <w:r w:rsidR="009872CE">
        <w:rPr>
          <w:sz w:val="24"/>
          <w:szCs w:val="24"/>
        </w:rPr>
        <w:t>, d</w:t>
      </w:r>
      <w:r>
        <w:rPr>
          <w:sz w:val="24"/>
          <w:szCs w:val="24"/>
        </w:rPr>
        <w:t>er</w:t>
      </w:r>
      <w:r w:rsidR="009872CE">
        <w:rPr>
          <w:sz w:val="24"/>
          <w:szCs w:val="24"/>
        </w:rPr>
        <w:t xml:space="preserve"> klar</w:t>
      </w:r>
      <w:r w:rsidR="004F16E3">
        <w:rPr>
          <w:sz w:val="24"/>
          <w:szCs w:val="24"/>
        </w:rPr>
        <w:t>, wenngleich implizit</w:t>
      </w:r>
      <w:r w:rsidR="009872CE">
        <w:rPr>
          <w:sz w:val="24"/>
          <w:szCs w:val="24"/>
        </w:rPr>
        <w:t xml:space="preserve"> – </w:t>
      </w:r>
      <w:r>
        <w:rPr>
          <w:sz w:val="24"/>
          <w:szCs w:val="24"/>
        </w:rPr>
        <w:t xml:space="preserve">durch </w:t>
      </w:r>
      <w:r w:rsidR="006E550C">
        <w:rPr>
          <w:sz w:val="24"/>
          <w:szCs w:val="24"/>
        </w:rPr>
        <w:t>kritische A</w:t>
      </w:r>
      <w:r w:rsidR="006E550C">
        <w:rPr>
          <w:sz w:val="24"/>
          <w:szCs w:val="24"/>
        </w:rPr>
        <w:t>n</w:t>
      </w:r>
      <w:r w:rsidR="006E550C">
        <w:rPr>
          <w:sz w:val="24"/>
          <w:szCs w:val="24"/>
        </w:rPr>
        <w:t>merkungen zum Alltagsleben in der Sowjetunion, jedoch noch mehr durch</w:t>
      </w:r>
      <w:r>
        <w:rPr>
          <w:sz w:val="24"/>
          <w:szCs w:val="24"/>
        </w:rPr>
        <w:t xml:space="preserve"> Bezugnahme</w:t>
      </w:r>
      <w:r w:rsidR="009872CE">
        <w:rPr>
          <w:sz w:val="24"/>
          <w:szCs w:val="24"/>
        </w:rPr>
        <w:t xml:space="preserve"> </w:t>
      </w:r>
      <w:r>
        <w:rPr>
          <w:sz w:val="24"/>
          <w:szCs w:val="24"/>
        </w:rPr>
        <w:t xml:space="preserve">auf </w:t>
      </w:r>
      <w:r w:rsidR="006E550C">
        <w:rPr>
          <w:sz w:val="24"/>
          <w:szCs w:val="24"/>
        </w:rPr>
        <w:t>d</w:t>
      </w:r>
      <w:r w:rsidR="004E1F2C">
        <w:rPr>
          <w:sz w:val="24"/>
          <w:szCs w:val="24"/>
        </w:rPr>
        <w:t xml:space="preserve">en </w:t>
      </w:r>
      <w:r w:rsidR="008337F2">
        <w:rPr>
          <w:sz w:val="24"/>
          <w:szCs w:val="24"/>
        </w:rPr>
        <w:t xml:space="preserve">eigenen </w:t>
      </w:r>
      <w:r>
        <w:rPr>
          <w:sz w:val="24"/>
          <w:szCs w:val="24"/>
        </w:rPr>
        <w:t>Wertekanon</w:t>
      </w:r>
      <w:r w:rsidR="004E1F2C">
        <w:rPr>
          <w:sz w:val="24"/>
          <w:szCs w:val="24"/>
        </w:rPr>
        <w:t>, de</w:t>
      </w:r>
      <w:r w:rsidR="008337F2">
        <w:rPr>
          <w:sz w:val="24"/>
          <w:szCs w:val="24"/>
        </w:rPr>
        <w:t>ssen Bedeutung</w:t>
      </w:r>
      <w:r w:rsidR="004E1F2C">
        <w:rPr>
          <w:sz w:val="24"/>
          <w:szCs w:val="24"/>
        </w:rPr>
        <w:t xml:space="preserve"> Gide bei </w:t>
      </w:r>
      <w:r w:rsidR="006E550C">
        <w:rPr>
          <w:sz w:val="24"/>
          <w:szCs w:val="24"/>
        </w:rPr>
        <w:t>dies</w:t>
      </w:r>
      <w:r w:rsidR="004E1F2C">
        <w:rPr>
          <w:sz w:val="24"/>
          <w:szCs w:val="24"/>
        </w:rPr>
        <w:t xml:space="preserve">er Reise voll bewusst wird </w:t>
      </w:r>
      <w:r w:rsidR="009872CE">
        <w:rPr>
          <w:sz w:val="24"/>
          <w:szCs w:val="24"/>
        </w:rPr>
        <w:t xml:space="preserve">– die Vorzüge der demokratischen bürgerlichen Gesellschaft </w:t>
      </w:r>
      <w:r w:rsidR="008337F2">
        <w:rPr>
          <w:sz w:val="24"/>
          <w:szCs w:val="24"/>
        </w:rPr>
        <w:t>herausstell</w:t>
      </w:r>
      <w:r w:rsidR="009872CE">
        <w:rPr>
          <w:sz w:val="24"/>
          <w:szCs w:val="24"/>
        </w:rPr>
        <w:t xml:space="preserve">t: die </w:t>
      </w:r>
      <w:r w:rsidR="008337F2">
        <w:rPr>
          <w:sz w:val="24"/>
          <w:szCs w:val="24"/>
        </w:rPr>
        <w:t xml:space="preserve">hier vorhandene </w:t>
      </w:r>
      <w:r w:rsidR="009872CE">
        <w:rPr>
          <w:sz w:val="24"/>
          <w:szCs w:val="24"/>
        </w:rPr>
        <w:t>Mö</w:t>
      </w:r>
      <w:r w:rsidR="009872CE">
        <w:rPr>
          <w:sz w:val="24"/>
          <w:szCs w:val="24"/>
        </w:rPr>
        <w:t>g</w:t>
      </w:r>
      <w:r w:rsidR="009872CE">
        <w:rPr>
          <w:sz w:val="24"/>
          <w:szCs w:val="24"/>
        </w:rPr>
        <w:t>lichkeit des Einzelnen, seine Meinung direkt und unverstellt zu äußer</w:t>
      </w:r>
      <w:r w:rsidR="00FF3991">
        <w:rPr>
          <w:sz w:val="24"/>
          <w:szCs w:val="24"/>
        </w:rPr>
        <w:t>n</w:t>
      </w:r>
      <w:r w:rsidR="009872CE">
        <w:rPr>
          <w:sz w:val="24"/>
          <w:szCs w:val="24"/>
        </w:rPr>
        <w:t xml:space="preserve">, sich eine Meinung </w:t>
      </w:r>
      <w:r w:rsidR="009872CE">
        <w:rPr>
          <w:sz w:val="24"/>
          <w:szCs w:val="24"/>
        </w:rPr>
        <w:lastRenderedPageBreak/>
        <w:t>aufgrund von unabhängigen</w:t>
      </w:r>
      <w:r w:rsidR="006E550C" w:rsidRPr="006E550C">
        <w:rPr>
          <w:sz w:val="24"/>
          <w:szCs w:val="24"/>
        </w:rPr>
        <w:t xml:space="preserve"> </w:t>
      </w:r>
      <w:r w:rsidR="006E550C">
        <w:rPr>
          <w:sz w:val="24"/>
          <w:szCs w:val="24"/>
        </w:rPr>
        <w:t>Informationen,</w:t>
      </w:r>
      <w:r w:rsidR="009872CE">
        <w:rPr>
          <w:sz w:val="24"/>
          <w:szCs w:val="24"/>
        </w:rPr>
        <w:t xml:space="preserve"> </w:t>
      </w:r>
      <w:r w:rsidR="006E550C">
        <w:rPr>
          <w:sz w:val="24"/>
          <w:szCs w:val="24"/>
        </w:rPr>
        <w:t xml:space="preserve">unbeeinflusst von politischem Druck, </w:t>
      </w:r>
      <w:r w:rsidR="009872CE">
        <w:rPr>
          <w:sz w:val="24"/>
          <w:szCs w:val="24"/>
        </w:rPr>
        <w:t xml:space="preserve">zu bilden, die eigenen Wohn- und Lebensverhältnisse nach </w:t>
      </w:r>
      <w:r w:rsidR="008337F2">
        <w:rPr>
          <w:sz w:val="24"/>
          <w:szCs w:val="24"/>
        </w:rPr>
        <w:t>eigen</w:t>
      </w:r>
      <w:r w:rsidR="009872CE">
        <w:rPr>
          <w:sz w:val="24"/>
          <w:szCs w:val="24"/>
        </w:rPr>
        <w:t>em Geschmack und den zur Verfügung stehenden Möglichkeiten zu gestalten.</w:t>
      </w:r>
      <w:r w:rsidR="004E1F2C">
        <w:rPr>
          <w:sz w:val="24"/>
          <w:szCs w:val="24"/>
        </w:rPr>
        <w:t xml:space="preserve"> A</w:t>
      </w:r>
      <w:r w:rsidR="006E550C">
        <w:rPr>
          <w:sz w:val="24"/>
          <w:szCs w:val="24"/>
        </w:rPr>
        <w:t>llerdings</w:t>
      </w:r>
      <w:r w:rsidR="009872CE">
        <w:rPr>
          <w:sz w:val="24"/>
          <w:szCs w:val="24"/>
        </w:rPr>
        <w:t xml:space="preserve"> mangelt </w:t>
      </w:r>
      <w:r w:rsidR="004E1F2C">
        <w:rPr>
          <w:sz w:val="24"/>
          <w:szCs w:val="24"/>
        </w:rPr>
        <w:t>es</w:t>
      </w:r>
      <w:r w:rsidR="008337F2">
        <w:rPr>
          <w:sz w:val="24"/>
          <w:szCs w:val="24"/>
        </w:rPr>
        <w:t>, wie Gide durchaus betont,</w:t>
      </w:r>
      <w:r w:rsidR="009872CE">
        <w:rPr>
          <w:sz w:val="24"/>
          <w:szCs w:val="24"/>
        </w:rPr>
        <w:t xml:space="preserve"> </w:t>
      </w:r>
      <w:r w:rsidR="008337F2">
        <w:rPr>
          <w:sz w:val="24"/>
          <w:szCs w:val="24"/>
        </w:rPr>
        <w:t>g</w:t>
      </w:r>
      <w:r w:rsidR="008337F2">
        <w:rPr>
          <w:sz w:val="24"/>
          <w:szCs w:val="24"/>
        </w:rPr>
        <w:t>e</w:t>
      </w:r>
      <w:r w:rsidR="008337F2">
        <w:rPr>
          <w:sz w:val="24"/>
          <w:szCs w:val="24"/>
        </w:rPr>
        <w:t xml:space="preserve">rade </w:t>
      </w:r>
      <w:r w:rsidR="006E550C">
        <w:rPr>
          <w:sz w:val="24"/>
          <w:szCs w:val="24"/>
        </w:rPr>
        <w:t xml:space="preserve">in </w:t>
      </w:r>
      <w:r w:rsidR="009872CE">
        <w:rPr>
          <w:sz w:val="24"/>
          <w:szCs w:val="24"/>
        </w:rPr>
        <w:t xml:space="preserve">der bürgerlichen Gesellschaft an Fürsorge für die Armen und die Benachteiligten. Doch sind die Fortschritte, die Gide </w:t>
      </w:r>
      <w:r w:rsidR="006E550C">
        <w:rPr>
          <w:sz w:val="24"/>
          <w:szCs w:val="24"/>
        </w:rPr>
        <w:t xml:space="preserve">in der Sowjetunion </w:t>
      </w:r>
      <w:r w:rsidR="009872CE">
        <w:rPr>
          <w:sz w:val="24"/>
          <w:szCs w:val="24"/>
        </w:rPr>
        <w:t>auf diese</w:t>
      </w:r>
      <w:r w:rsidR="006E550C">
        <w:rPr>
          <w:sz w:val="24"/>
          <w:szCs w:val="24"/>
        </w:rPr>
        <w:t>m</w:t>
      </w:r>
      <w:r w:rsidR="009872CE">
        <w:rPr>
          <w:sz w:val="24"/>
          <w:szCs w:val="24"/>
        </w:rPr>
        <w:t xml:space="preserve"> Gebiet wahrnimmt, </w:t>
      </w:r>
      <w:r w:rsidR="008C4FB6">
        <w:rPr>
          <w:sz w:val="24"/>
          <w:szCs w:val="24"/>
        </w:rPr>
        <w:t>g</w:t>
      </w:r>
      <w:r w:rsidR="008C4FB6">
        <w:rPr>
          <w:sz w:val="24"/>
          <w:szCs w:val="24"/>
        </w:rPr>
        <w:t>e</w:t>
      </w:r>
      <w:r w:rsidR="008C4FB6">
        <w:rPr>
          <w:sz w:val="24"/>
          <w:szCs w:val="24"/>
        </w:rPr>
        <w:t xml:space="preserve">genüber den damit verbundenen Nachteilen </w:t>
      </w:r>
      <w:r w:rsidR="004E1F2C">
        <w:rPr>
          <w:sz w:val="24"/>
          <w:szCs w:val="24"/>
        </w:rPr>
        <w:t xml:space="preserve">vergleichsweise </w:t>
      </w:r>
      <w:r w:rsidR="009872CE">
        <w:rPr>
          <w:sz w:val="24"/>
          <w:szCs w:val="24"/>
        </w:rPr>
        <w:t xml:space="preserve">gering </w:t>
      </w:r>
      <w:r w:rsidR="004E1F2C">
        <w:rPr>
          <w:sz w:val="24"/>
          <w:szCs w:val="24"/>
        </w:rPr>
        <w:t>zu veranschlagen</w:t>
      </w:r>
      <w:r w:rsidR="009872CE">
        <w:rPr>
          <w:sz w:val="24"/>
          <w:szCs w:val="24"/>
        </w:rPr>
        <w:t xml:space="preserve">: </w:t>
      </w:r>
      <w:r w:rsidR="004F16E3">
        <w:rPr>
          <w:sz w:val="24"/>
          <w:szCs w:val="24"/>
        </w:rPr>
        <w:t>gege</w:t>
      </w:r>
      <w:r w:rsidR="004F16E3">
        <w:rPr>
          <w:sz w:val="24"/>
          <w:szCs w:val="24"/>
        </w:rPr>
        <w:t>n</w:t>
      </w:r>
      <w:r w:rsidR="004F16E3">
        <w:rPr>
          <w:sz w:val="24"/>
          <w:szCs w:val="24"/>
        </w:rPr>
        <w:t xml:space="preserve">über </w:t>
      </w:r>
      <w:r w:rsidR="009872CE">
        <w:rPr>
          <w:sz w:val="24"/>
          <w:szCs w:val="24"/>
        </w:rPr>
        <w:t>dem Konformismus</w:t>
      </w:r>
      <w:r w:rsidR="004F16E3">
        <w:rPr>
          <w:sz w:val="24"/>
          <w:szCs w:val="24"/>
        </w:rPr>
        <w:t xml:space="preserve"> und</w:t>
      </w:r>
      <w:r w:rsidR="009872CE">
        <w:rPr>
          <w:sz w:val="24"/>
          <w:szCs w:val="24"/>
        </w:rPr>
        <w:t xml:space="preserve"> der Hörigkeit gegenüber der Partei bzw. Stalin, der Einschrä</w:t>
      </w:r>
      <w:r w:rsidR="009872CE">
        <w:rPr>
          <w:sz w:val="24"/>
          <w:szCs w:val="24"/>
        </w:rPr>
        <w:t>n</w:t>
      </w:r>
      <w:r w:rsidR="009872CE">
        <w:rPr>
          <w:sz w:val="24"/>
          <w:szCs w:val="24"/>
        </w:rPr>
        <w:t xml:space="preserve">kung der politischen und kulturellen Toleranz, der Stimulierung von Vorurteilen usw. Gide macht </w:t>
      </w:r>
      <w:r w:rsidR="008C4FB6">
        <w:rPr>
          <w:sz w:val="24"/>
          <w:szCs w:val="24"/>
        </w:rPr>
        <w:t>deutlich</w:t>
      </w:r>
      <w:r w:rsidR="009872CE">
        <w:rPr>
          <w:sz w:val="24"/>
          <w:szCs w:val="24"/>
        </w:rPr>
        <w:t xml:space="preserve">, dass die Sowjetunion ihre Gäste zielgerichtet manipuliert, und zwar ähnlich, wie es </w:t>
      </w:r>
      <w:r w:rsidR="004E1F2C">
        <w:rPr>
          <w:sz w:val="24"/>
          <w:szCs w:val="24"/>
        </w:rPr>
        <w:t xml:space="preserve">nach Gides eigenen Erfahrungen </w:t>
      </w:r>
      <w:r w:rsidR="009872CE">
        <w:rPr>
          <w:sz w:val="24"/>
          <w:szCs w:val="24"/>
        </w:rPr>
        <w:t xml:space="preserve">die Kolonialbehörden in Afrika mit </w:t>
      </w:r>
      <w:r w:rsidR="004E1F2C">
        <w:rPr>
          <w:sz w:val="24"/>
          <w:szCs w:val="24"/>
        </w:rPr>
        <w:t>ihr</w:t>
      </w:r>
      <w:r w:rsidR="009872CE">
        <w:rPr>
          <w:sz w:val="24"/>
          <w:szCs w:val="24"/>
        </w:rPr>
        <w:t>en Gästen tun</w:t>
      </w:r>
      <w:r w:rsidR="004E1F2C">
        <w:rPr>
          <w:sz w:val="24"/>
          <w:szCs w:val="24"/>
        </w:rPr>
        <w:t>:</w:t>
      </w:r>
      <w:r w:rsidR="009872CE">
        <w:rPr>
          <w:sz w:val="24"/>
          <w:szCs w:val="24"/>
        </w:rPr>
        <w:t xml:space="preserve"> </w:t>
      </w:r>
      <w:r w:rsidR="008C4FB6">
        <w:rPr>
          <w:sz w:val="24"/>
          <w:szCs w:val="24"/>
        </w:rPr>
        <w:t>durch</w:t>
      </w:r>
      <w:r w:rsidR="006057D0">
        <w:rPr>
          <w:sz w:val="24"/>
          <w:szCs w:val="24"/>
        </w:rPr>
        <w:t xml:space="preserve"> </w:t>
      </w:r>
      <w:r w:rsidR="004E1F2C">
        <w:rPr>
          <w:sz w:val="24"/>
          <w:szCs w:val="24"/>
        </w:rPr>
        <w:t>opulente Versorgung, aufwendige Unterbringung und größtmögliche</w:t>
      </w:r>
      <w:r w:rsidR="00FF3991">
        <w:rPr>
          <w:sz w:val="24"/>
          <w:szCs w:val="24"/>
        </w:rPr>
        <w:t xml:space="preserve"> Aufmerksamkeit</w:t>
      </w:r>
      <w:r w:rsidR="008C4FB6">
        <w:rPr>
          <w:sz w:val="24"/>
          <w:szCs w:val="24"/>
        </w:rPr>
        <w:t>. D</w:t>
      </w:r>
      <w:r w:rsidR="006057D0">
        <w:rPr>
          <w:sz w:val="24"/>
          <w:szCs w:val="24"/>
        </w:rPr>
        <w:t>ie</w:t>
      </w:r>
      <w:r w:rsidR="008C4FB6">
        <w:rPr>
          <w:sz w:val="24"/>
          <w:szCs w:val="24"/>
        </w:rPr>
        <w:t xml:space="preserve"> Gäste</w:t>
      </w:r>
      <w:r w:rsidR="006057D0">
        <w:rPr>
          <w:sz w:val="24"/>
          <w:szCs w:val="24"/>
        </w:rPr>
        <w:t xml:space="preserve"> sollen positiv über ihre Erlebnisse</w:t>
      </w:r>
      <w:r w:rsidR="008C4FB6">
        <w:rPr>
          <w:sz w:val="24"/>
          <w:szCs w:val="24"/>
        </w:rPr>
        <w:t xml:space="preserve"> und Erfahrungen in und mit der Sowjetunion</w:t>
      </w:r>
      <w:r w:rsidR="006057D0">
        <w:rPr>
          <w:sz w:val="24"/>
          <w:szCs w:val="24"/>
        </w:rPr>
        <w:t xml:space="preserve"> berichten</w:t>
      </w:r>
      <w:r w:rsidR="009872CE">
        <w:rPr>
          <w:sz w:val="24"/>
          <w:szCs w:val="24"/>
        </w:rPr>
        <w:t xml:space="preserve">. Diese </w:t>
      </w:r>
      <w:r w:rsidR="004E1F2C">
        <w:rPr>
          <w:sz w:val="24"/>
          <w:szCs w:val="24"/>
        </w:rPr>
        <w:t xml:space="preserve">spezielle </w:t>
      </w:r>
      <w:r w:rsidR="009872CE">
        <w:rPr>
          <w:sz w:val="24"/>
          <w:szCs w:val="24"/>
        </w:rPr>
        <w:t>Korrumpierung ist</w:t>
      </w:r>
      <w:r w:rsidR="006057D0">
        <w:rPr>
          <w:sz w:val="24"/>
          <w:szCs w:val="24"/>
        </w:rPr>
        <w:t>, so Gide,</w:t>
      </w:r>
      <w:r w:rsidR="009872CE">
        <w:rPr>
          <w:sz w:val="24"/>
          <w:szCs w:val="24"/>
        </w:rPr>
        <w:t xml:space="preserve"> </w:t>
      </w:r>
      <w:r w:rsidR="004E1F2C">
        <w:rPr>
          <w:sz w:val="24"/>
          <w:szCs w:val="24"/>
        </w:rPr>
        <w:t xml:space="preserve">jedoch </w:t>
      </w:r>
      <w:r w:rsidR="009872CE">
        <w:rPr>
          <w:sz w:val="24"/>
          <w:szCs w:val="24"/>
        </w:rPr>
        <w:t>nur ein Spiegel der</w:t>
      </w:r>
      <w:r w:rsidR="006057D0">
        <w:rPr>
          <w:sz w:val="24"/>
          <w:szCs w:val="24"/>
        </w:rPr>
        <w:t xml:space="preserve"> </w:t>
      </w:r>
      <w:r w:rsidR="006057D0" w:rsidRPr="008C4FB6">
        <w:rPr>
          <w:i/>
          <w:sz w:val="24"/>
          <w:szCs w:val="24"/>
        </w:rPr>
        <w:t>allgemeine</w:t>
      </w:r>
      <w:r w:rsidR="009872CE" w:rsidRPr="008C4FB6">
        <w:rPr>
          <w:i/>
          <w:sz w:val="24"/>
          <w:szCs w:val="24"/>
        </w:rPr>
        <w:t>n</w:t>
      </w:r>
      <w:r w:rsidR="006057D0" w:rsidRPr="008C4FB6">
        <w:rPr>
          <w:i/>
          <w:sz w:val="24"/>
          <w:szCs w:val="24"/>
        </w:rPr>
        <w:t xml:space="preserve"> Korrumpierung</w:t>
      </w:r>
      <w:r w:rsidR="009872CE">
        <w:rPr>
          <w:sz w:val="24"/>
          <w:szCs w:val="24"/>
        </w:rPr>
        <w:t xml:space="preserve">, die </w:t>
      </w:r>
      <w:r w:rsidR="004E1F2C">
        <w:rPr>
          <w:sz w:val="24"/>
          <w:szCs w:val="24"/>
        </w:rPr>
        <w:t xml:space="preserve">in der Sowjetunion </w:t>
      </w:r>
      <w:r w:rsidR="009872CE">
        <w:rPr>
          <w:sz w:val="24"/>
          <w:szCs w:val="24"/>
        </w:rPr>
        <w:t>den Alltag und das ge</w:t>
      </w:r>
      <w:r w:rsidR="004E1F2C">
        <w:rPr>
          <w:sz w:val="24"/>
          <w:szCs w:val="24"/>
        </w:rPr>
        <w:t>samt</w:t>
      </w:r>
      <w:r w:rsidR="009872CE">
        <w:rPr>
          <w:sz w:val="24"/>
          <w:szCs w:val="24"/>
        </w:rPr>
        <w:t>e Leben bestimmt.</w:t>
      </w:r>
    </w:p>
    <w:p w:rsidR="009872CE" w:rsidRDefault="009872CE" w:rsidP="00E41506">
      <w:pPr>
        <w:spacing w:after="0"/>
        <w:ind w:firstLine="708"/>
        <w:jc w:val="both"/>
        <w:rPr>
          <w:sz w:val="24"/>
          <w:szCs w:val="24"/>
        </w:rPr>
      </w:pPr>
      <w:r>
        <w:rPr>
          <w:sz w:val="24"/>
          <w:szCs w:val="24"/>
        </w:rPr>
        <w:t xml:space="preserve">Gide spricht in den </w:t>
      </w:r>
      <w:proofErr w:type="spellStart"/>
      <w:r>
        <w:rPr>
          <w:i/>
          <w:sz w:val="24"/>
          <w:szCs w:val="24"/>
        </w:rPr>
        <w:t>Retouches</w:t>
      </w:r>
      <w:proofErr w:type="spellEnd"/>
      <w:r>
        <w:rPr>
          <w:sz w:val="24"/>
          <w:szCs w:val="24"/>
        </w:rPr>
        <w:t xml:space="preserve"> d</w:t>
      </w:r>
      <w:r w:rsidR="008C4FB6">
        <w:rPr>
          <w:sz w:val="24"/>
          <w:szCs w:val="24"/>
        </w:rPr>
        <w:t>a</w:t>
      </w:r>
      <w:r>
        <w:rPr>
          <w:sz w:val="24"/>
          <w:szCs w:val="24"/>
        </w:rPr>
        <w:t>s Faktum offen an: „Während der ganzen Reise waren wir nicht eigentlich Gäste der Regierung, sondern vielmehr des reichen Verbandes der So</w:t>
      </w:r>
      <w:r>
        <w:rPr>
          <w:sz w:val="24"/>
          <w:szCs w:val="24"/>
        </w:rPr>
        <w:t>w</w:t>
      </w:r>
      <w:r>
        <w:rPr>
          <w:sz w:val="24"/>
          <w:szCs w:val="24"/>
        </w:rPr>
        <w:t>jetschriftsteller. Wenn ich an die Kosten denke, die wir ihm bereiteten, so zweifle ich, ob die Goldmine meiner Tantiemen, die ich ihm überlasse, ausreichen wird, um ihn zu entschäd</w:t>
      </w:r>
      <w:r>
        <w:rPr>
          <w:sz w:val="24"/>
          <w:szCs w:val="24"/>
        </w:rPr>
        <w:t>i</w:t>
      </w:r>
      <w:r>
        <w:rPr>
          <w:sz w:val="24"/>
          <w:szCs w:val="24"/>
        </w:rPr>
        <w:t>gen.“ Sein sarkastischer Kommentar: „Zweifellos rechneten sie mit einem anderen Ergebnis eines so großzügigen Entgegenkommens</w:t>
      </w:r>
      <w:r w:rsidR="008C4FB6">
        <w:rPr>
          <w:sz w:val="24"/>
          <w:szCs w:val="24"/>
        </w:rPr>
        <w:t xml:space="preserve"> [also mit einem positiven Bericht]</w:t>
      </w:r>
      <w:r>
        <w:rPr>
          <w:sz w:val="24"/>
          <w:szCs w:val="24"/>
        </w:rPr>
        <w:t>, und wahrschei</w:t>
      </w:r>
      <w:r>
        <w:rPr>
          <w:sz w:val="24"/>
          <w:szCs w:val="24"/>
        </w:rPr>
        <w:t>n</w:t>
      </w:r>
      <w:r>
        <w:rPr>
          <w:sz w:val="24"/>
          <w:szCs w:val="24"/>
        </w:rPr>
        <w:t xml:space="preserve">lich rührt ein Teil des Zornes, den die </w:t>
      </w:r>
      <w:r>
        <w:rPr>
          <w:i/>
          <w:sz w:val="24"/>
          <w:szCs w:val="24"/>
        </w:rPr>
        <w:t>Prawda</w:t>
      </w:r>
      <w:r>
        <w:rPr>
          <w:sz w:val="24"/>
          <w:szCs w:val="24"/>
        </w:rPr>
        <w:t xml:space="preserve"> mich </w:t>
      </w:r>
      <w:r w:rsidR="006057D0">
        <w:rPr>
          <w:sz w:val="24"/>
          <w:szCs w:val="24"/>
        </w:rPr>
        <w:t xml:space="preserve">[nach Erscheinen von </w:t>
      </w:r>
      <w:r w:rsidR="006057D0">
        <w:rPr>
          <w:i/>
          <w:sz w:val="24"/>
          <w:szCs w:val="24"/>
        </w:rPr>
        <w:t xml:space="preserve">Retour de </w:t>
      </w:r>
      <w:proofErr w:type="spellStart"/>
      <w:r w:rsidR="006057D0">
        <w:rPr>
          <w:i/>
          <w:sz w:val="24"/>
          <w:szCs w:val="24"/>
        </w:rPr>
        <w:t>l’USSR</w:t>
      </w:r>
      <w:proofErr w:type="spellEnd"/>
      <w:r w:rsidR="006057D0">
        <w:rPr>
          <w:sz w:val="24"/>
          <w:szCs w:val="24"/>
        </w:rPr>
        <w:t xml:space="preserve">] </w:t>
      </w:r>
      <w:r>
        <w:rPr>
          <w:sz w:val="24"/>
          <w:szCs w:val="24"/>
        </w:rPr>
        <w:t>fühlen ließ, daher: ich habe mich als nicht sehr ‚rentabel‘ erwiesen.“</w:t>
      </w:r>
      <w:r w:rsidR="004E1F2C">
        <w:rPr>
          <w:rStyle w:val="Funotenzeichen"/>
          <w:sz w:val="24"/>
          <w:szCs w:val="24"/>
        </w:rPr>
        <w:footnoteReference w:id="33"/>
      </w:r>
      <w:r>
        <w:rPr>
          <w:sz w:val="24"/>
          <w:szCs w:val="24"/>
        </w:rPr>
        <w:t xml:space="preserve"> </w:t>
      </w:r>
    </w:p>
    <w:p w:rsidR="003902D5" w:rsidRDefault="004E1F2C" w:rsidP="00E41506">
      <w:pPr>
        <w:spacing w:after="0"/>
        <w:jc w:val="both"/>
        <w:rPr>
          <w:sz w:val="24"/>
          <w:szCs w:val="24"/>
        </w:rPr>
      </w:pPr>
      <w:r>
        <w:rPr>
          <w:sz w:val="24"/>
          <w:szCs w:val="24"/>
        </w:rPr>
        <w:tab/>
      </w:r>
      <w:r w:rsidR="009872CE">
        <w:rPr>
          <w:i/>
          <w:sz w:val="24"/>
          <w:szCs w:val="24"/>
        </w:rPr>
        <w:t xml:space="preserve">Retour de </w:t>
      </w:r>
      <w:proofErr w:type="spellStart"/>
      <w:r w:rsidR="009872CE">
        <w:rPr>
          <w:i/>
          <w:sz w:val="24"/>
          <w:szCs w:val="24"/>
        </w:rPr>
        <w:t>l’UdSSR</w:t>
      </w:r>
      <w:proofErr w:type="spellEnd"/>
      <w:r w:rsidR="009872CE">
        <w:rPr>
          <w:sz w:val="24"/>
          <w:szCs w:val="24"/>
        </w:rPr>
        <w:t xml:space="preserve"> hat daher den Beiklang </w:t>
      </w:r>
      <w:r>
        <w:rPr>
          <w:sz w:val="24"/>
          <w:szCs w:val="24"/>
        </w:rPr>
        <w:t>ein</w:t>
      </w:r>
      <w:r w:rsidR="009872CE">
        <w:rPr>
          <w:sz w:val="24"/>
          <w:szCs w:val="24"/>
        </w:rPr>
        <w:t xml:space="preserve">es Aufwachens aus einem Traum bzw. aus einer Wunschvorstellung, der man </w:t>
      </w:r>
      <w:r w:rsidR="006057D0">
        <w:rPr>
          <w:sz w:val="24"/>
          <w:szCs w:val="24"/>
        </w:rPr>
        <w:t xml:space="preserve">irrtümlich </w:t>
      </w:r>
      <w:r w:rsidR="009872CE">
        <w:rPr>
          <w:sz w:val="24"/>
          <w:szCs w:val="24"/>
        </w:rPr>
        <w:t>Realität zugemessen hatte</w:t>
      </w:r>
      <w:r w:rsidR="006057D0">
        <w:rPr>
          <w:sz w:val="24"/>
          <w:szCs w:val="24"/>
        </w:rPr>
        <w:t xml:space="preserve"> und</w:t>
      </w:r>
      <w:r w:rsidR="009872CE">
        <w:rPr>
          <w:sz w:val="24"/>
          <w:szCs w:val="24"/>
        </w:rPr>
        <w:t xml:space="preserve"> die sich </w:t>
      </w:r>
      <w:r w:rsidR="006057D0">
        <w:rPr>
          <w:sz w:val="24"/>
          <w:szCs w:val="24"/>
        </w:rPr>
        <w:t>jetzt</w:t>
      </w:r>
      <w:r w:rsidR="009872CE">
        <w:rPr>
          <w:sz w:val="24"/>
          <w:szCs w:val="24"/>
        </w:rPr>
        <w:t xml:space="preserve"> als Illusion erweist. </w:t>
      </w:r>
      <w:r w:rsidR="001458B2">
        <w:rPr>
          <w:sz w:val="24"/>
          <w:szCs w:val="24"/>
        </w:rPr>
        <w:t xml:space="preserve">Dominierend ist das wachsende Befremden, das sich bis zur Empörung steigert und zur Artikulation drängt. </w:t>
      </w:r>
      <w:r w:rsidR="009872CE">
        <w:rPr>
          <w:sz w:val="24"/>
          <w:szCs w:val="24"/>
        </w:rPr>
        <w:t xml:space="preserve">Gide kehrt mit </w:t>
      </w:r>
      <w:r w:rsidR="008C4FB6">
        <w:rPr>
          <w:sz w:val="24"/>
          <w:szCs w:val="24"/>
        </w:rPr>
        <w:t>sein</w:t>
      </w:r>
      <w:r w:rsidR="009872CE">
        <w:rPr>
          <w:sz w:val="24"/>
          <w:szCs w:val="24"/>
        </w:rPr>
        <w:t xml:space="preserve">em Bericht </w:t>
      </w:r>
      <w:r w:rsidR="006057D0">
        <w:rPr>
          <w:sz w:val="24"/>
          <w:szCs w:val="24"/>
        </w:rPr>
        <w:t>‚</w:t>
      </w:r>
      <w:r w:rsidR="009872CE">
        <w:rPr>
          <w:sz w:val="24"/>
          <w:szCs w:val="24"/>
        </w:rPr>
        <w:t>zurück in die Wirklic</w:t>
      </w:r>
      <w:r w:rsidR="009872CE">
        <w:rPr>
          <w:sz w:val="24"/>
          <w:szCs w:val="24"/>
        </w:rPr>
        <w:t>h</w:t>
      </w:r>
      <w:r w:rsidR="009872CE">
        <w:rPr>
          <w:sz w:val="24"/>
          <w:szCs w:val="24"/>
        </w:rPr>
        <w:t>keit</w:t>
      </w:r>
      <w:r w:rsidR="006057D0">
        <w:rPr>
          <w:sz w:val="24"/>
          <w:szCs w:val="24"/>
        </w:rPr>
        <w:t>‘</w:t>
      </w:r>
      <w:r w:rsidR="009872CE">
        <w:rPr>
          <w:sz w:val="24"/>
          <w:szCs w:val="24"/>
        </w:rPr>
        <w:t xml:space="preserve">; er erkennt, dass die Sowjetunion ein </w:t>
      </w:r>
      <w:r w:rsidR="008C4FB6">
        <w:rPr>
          <w:sz w:val="24"/>
          <w:szCs w:val="24"/>
        </w:rPr>
        <w:t>Staat</w:t>
      </w:r>
      <w:r w:rsidR="009872CE">
        <w:rPr>
          <w:sz w:val="24"/>
          <w:szCs w:val="24"/>
        </w:rPr>
        <w:t xml:space="preserve"> wie andere</w:t>
      </w:r>
      <w:r w:rsidR="009872CE" w:rsidRPr="00CA4789">
        <w:rPr>
          <w:sz w:val="24"/>
          <w:szCs w:val="24"/>
        </w:rPr>
        <w:t xml:space="preserve"> </w:t>
      </w:r>
      <w:r w:rsidR="009872CE">
        <w:rPr>
          <w:sz w:val="24"/>
          <w:szCs w:val="24"/>
        </w:rPr>
        <w:t xml:space="preserve">ist: mit </w:t>
      </w:r>
      <w:r w:rsidR="004F16E3">
        <w:rPr>
          <w:sz w:val="24"/>
          <w:szCs w:val="24"/>
        </w:rPr>
        <w:t xml:space="preserve">beträchtlichen </w:t>
      </w:r>
      <w:r w:rsidR="009872CE">
        <w:rPr>
          <w:sz w:val="24"/>
          <w:szCs w:val="24"/>
        </w:rPr>
        <w:t xml:space="preserve">Vorzügen, aber auch mit signifikanten Nachteilen. </w:t>
      </w:r>
      <w:r w:rsidR="00615429">
        <w:rPr>
          <w:sz w:val="24"/>
          <w:szCs w:val="24"/>
        </w:rPr>
        <w:t>Bei seiner Ankunft in der Sowjetunion hatte Gide f</w:t>
      </w:r>
      <w:r w:rsidR="009872CE">
        <w:rPr>
          <w:sz w:val="24"/>
          <w:szCs w:val="24"/>
        </w:rPr>
        <w:t xml:space="preserve">ür Momente </w:t>
      </w:r>
      <w:r w:rsidR="008C4FB6">
        <w:rPr>
          <w:sz w:val="24"/>
          <w:szCs w:val="24"/>
        </w:rPr>
        <w:t xml:space="preserve">das Gefühl von </w:t>
      </w:r>
      <w:r w:rsidR="009872CE">
        <w:rPr>
          <w:sz w:val="24"/>
          <w:szCs w:val="24"/>
        </w:rPr>
        <w:t>„Brüderlichkeit“</w:t>
      </w:r>
      <w:r w:rsidR="008C4FB6">
        <w:rPr>
          <w:sz w:val="24"/>
          <w:szCs w:val="24"/>
        </w:rPr>
        <w:t>, von Empathie</w:t>
      </w:r>
      <w:r w:rsidR="00615429">
        <w:rPr>
          <w:sz w:val="24"/>
          <w:szCs w:val="24"/>
        </w:rPr>
        <w:t xml:space="preserve"> mit den „Sowjetbürgern“</w:t>
      </w:r>
      <w:r w:rsidR="008C4FB6">
        <w:rPr>
          <w:sz w:val="24"/>
          <w:szCs w:val="24"/>
        </w:rPr>
        <w:t>,</w:t>
      </w:r>
      <w:r w:rsidR="009872CE">
        <w:rPr>
          <w:sz w:val="24"/>
          <w:szCs w:val="24"/>
        </w:rPr>
        <w:t xml:space="preserve"> verspürt: „Ich spürte, wie mich plötzlich mitten unter diesen neuen Kameraden [dem „Volk von Arbe</w:t>
      </w:r>
      <w:r w:rsidR="009872CE">
        <w:rPr>
          <w:sz w:val="24"/>
          <w:szCs w:val="24"/>
        </w:rPr>
        <w:t>i</w:t>
      </w:r>
      <w:r w:rsidR="009872CE">
        <w:rPr>
          <w:sz w:val="24"/>
          <w:szCs w:val="24"/>
        </w:rPr>
        <w:t>tern“ in Moskau] Brüderlichkeit ergriff und das Herz mir weit aufging</w:t>
      </w:r>
      <w:r w:rsidR="001458B2">
        <w:rPr>
          <w:sz w:val="24"/>
          <w:szCs w:val="24"/>
        </w:rPr>
        <w:t>.</w:t>
      </w:r>
      <w:r w:rsidR="000B3E8B">
        <w:rPr>
          <w:sz w:val="24"/>
          <w:szCs w:val="24"/>
        </w:rPr>
        <w:t>“</w:t>
      </w:r>
      <w:r w:rsidR="000B3E8B">
        <w:rPr>
          <w:rStyle w:val="Funotenzeichen"/>
          <w:sz w:val="24"/>
          <w:szCs w:val="24"/>
        </w:rPr>
        <w:footnoteReference w:id="34"/>
      </w:r>
      <w:r w:rsidR="000B3E8B">
        <w:rPr>
          <w:sz w:val="24"/>
          <w:szCs w:val="24"/>
        </w:rPr>
        <w:t xml:space="preserve"> </w:t>
      </w:r>
      <w:r w:rsidR="00615429">
        <w:rPr>
          <w:sz w:val="24"/>
          <w:szCs w:val="24"/>
        </w:rPr>
        <w:t>A</w:t>
      </w:r>
      <w:r w:rsidR="008C4FB6">
        <w:rPr>
          <w:sz w:val="24"/>
          <w:szCs w:val="24"/>
        </w:rPr>
        <w:t xml:space="preserve">uf </w:t>
      </w:r>
      <w:r w:rsidR="000B3E8B">
        <w:rPr>
          <w:sz w:val="24"/>
          <w:szCs w:val="24"/>
        </w:rPr>
        <w:t>diese</w:t>
      </w:r>
      <w:r w:rsidR="006057D0">
        <w:rPr>
          <w:sz w:val="24"/>
          <w:szCs w:val="24"/>
        </w:rPr>
        <w:t>n</w:t>
      </w:r>
      <w:r w:rsidR="000B3E8B">
        <w:rPr>
          <w:sz w:val="24"/>
          <w:szCs w:val="24"/>
        </w:rPr>
        <w:t xml:space="preserve"> </w:t>
      </w:r>
      <w:r w:rsidR="008C4FB6">
        <w:rPr>
          <w:sz w:val="24"/>
          <w:szCs w:val="24"/>
        </w:rPr>
        <w:t xml:space="preserve">ersten </w:t>
      </w:r>
      <w:r w:rsidR="00615429">
        <w:rPr>
          <w:sz w:val="24"/>
          <w:szCs w:val="24"/>
        </w:rPr>
        <w:t xml:space="preserve">positiven </w:t>
      </w:r>
      <w:r w:rsidR="008C4FB6">
        <w:rPr>
          <w:sz w:val="24"/>
          <w:szCs w:val="24"/>
        </w:rPr>
        <w:t>Eindruck</w:t>
      </w:r>
      <w:r w:rsidR="000B3E8B">
        <w:rPr>
          <w:sz w:val="24"/>
          <w:szCs w:val="24"/>
        </w:rPr>
        <w:t xml:space="preserve"> folgt </w:t>
      </w:r>
      <w:r w:rsidR="00615429">
        <w:rPr>
          <w:sz w:val="24"/>
          <w:szCs w:val="24"/>
        </w:rPr>
        <w:t xml:space="preserve">anfangs nur </w:t>
      </w:r>
      <w:r w:rsidR="000B3E8B">
        <w:rPr>
          <w:sz w:val="24"/>
          <w:szCs w:val="24"/>
        </w:rPr>
        <w:t>Irritation, dann, nach der Reflexion des Wahrgenomm</w:t>
      </w:r>
      <w:r w:rsidR="000B3E8B">
        <w:rPr>
          <w:sz w:val="24"/>
          <w:szCs w:val="24"/>
        </w:rPr>
        <w:t>e</w:t>
      </w:r>
      <w:r w:rsidR="000B3E8B">
        <w:rPr>
          <w:sz w:val="24"/>
          <w:szCs w:val="24"/>
        </w:rPr>
        <w:t>nen, die Empörung.</w:t>
      </w:r>
    </w:p>
    <w:p w:rsidR="006057D0" w:rsidRDefault="006057D0" w:rsidP="00E41506">
      <w:pPr>
        <w:spacing w:after="0"/>
        <w:jc w:val="both"/>
        <w:rPr>
          <w:sz w:val="24"/>
          <w:szCs w:val="24"/>
        </w:rPr>
      </w:pPr>
    </w:p>
    <w:p w:rsidR="00A8634F" w:rsidRDefault="003902D5" w:rsidP="00E41506">
      <w:pPr>
        <w:spacing w:after="0"/>
        <w:jc w:val="both"/>
        <w:rPr>
          <w:sz w:val="24"/>
          <w:szCs w:val="24"/>
        </w:rPr>
      </w:pPr>
      <w:r>
        <w:rPr>
          <w:sz w:val="24"/>
          <w:szCs w:val="24"/>
        </w:rPr>
        <w:tab/>
      </w:r>
      <w:r w:rsidR="009872CE">
        <w:rPr>
          <w:sz w:val="24"/>
          <w:szCs w:val="24"/>
        </w:rPr>
        <w:t xml:space="preserve">In der ersten Publikation, in </w:t>
      </w:r>
      <w:r w:rsidR="009872CE">
        <w:rPr>
          <w:i/>
          <w:sz w:val="24"/>
          <w:szCs w:val="24"/>
        </w:rPr>
        <w:t xml:space="preserve">Retour de </w:t>
      </w:r>
      <w:proofErr w:type="spellStart"/>
      <w:r w:rsidR="009872CE">
        <w:rPr>
          <w:i/>
          <w:sz w:val="24"/>
          <w:szCs w:val="24"/>
        </w:rPr>
        <w:t>l’UdSSR</w:t>
      </w:r>
      <w:proofErr w:type="spellEnd"/>
      <w:r w:rsidR="009872CE">
        <w:rPr>
          <w:i/>
          <w:sz w:val="24"/>
          <w:szCs w:val="24"/>
        </w:rPr>
        <w:t xml:space="preserve">, </w:t>
      </w:r>
      <w:r w:rsidR="009872CE">
        <w:rPr>
          <w:sz w:val="24"/>
          <w:szCs w:val="24"/>
        </w:rPr>
        <w:t xml:space="preserve">versucht Gide noch, diese Empörung zu zügeln. In den </w:t>
      </w:r>
      <w:proofErr w:type="spellStart"/>
      <w:r w:rsidR="009872CE">
        <w:rPr>
          <w:i/>
          <w:sz w:val="24"/>
          <w:szCs w:val="24"/>
        </w:rPr>
        <w:t>Retouches</w:t>
      </w:r>
      <w:proofErr w:type="spellEnd"/>
      <w:r w:rsidR="009872CE">
        <w:rPr>
          <w:sz w:val="24"/>
          <w:szCs w:val="24"/>
        </w:rPr>
        <w:t xml:space="preserve"> hält er sich jedoch nicht </w:t>
      </w:r>
      <w:r w:rsidR="006057D0">
        <w:rPr>
          <w:sz w:val="24"/>
          <w:szCs w:val="24"/>
        </w:rPr>
        <w:t xml:space="preserve">mehr </w:t>
      </w:r>
      <w:r w:rsidR="009872CE">
        <w:rPr>
          <w:sz w:val="24"/>
          <w:szCs w:val="24"/>
        </w:rPr>
        <w:t>zurück, sondern liefert Stück für Stück die Belege</w:t>
      </w:r>
      <w:r w:rsidR="00952D06">
        <w:rPr>
          <w:sz w:val="24"/>
          <w:szCs w:val="24"/>
        </w:rPr>
        <w:t xml:space="preserve"> nach</w:t>
      </w:r>
      <w:r w:rsidR="009872CE">
        <w:rPr>
          <w:sz w:val="24"/>
          <w:szCs w:val="24"/>
        </w:rPr>
        <w:t>. Sie sind in der Summe wie auch einzeln schockierend. Er fragt mit sch</w:t>
      </w:r>
      <w:r w:rsidR="006057D0">
        <w:rPr>
          <w:sz w:val="24"/>
          <w:szCs w:val="24"/>
        </w:rPr>
        <w:t>roff</w:t>
      </w:r>
      <w:r w:rsidR="009872CE">
        <w:rPr>
          <w:sz w:val="24"/>
          <w:szCs w:val="24"/>
        </w:rPr>
        <w:t xml:space="preserve">er Direktheit: „Haben diese Menschen wirklich die Revolution gemacht? Nein! Diesen Menschen hier ist der Gewinn aus der Revolution zugefallen! Jeden Morgen bringt ihnen die </w:t>
      </w:r>
      <w:r w:rsidR="009872CE">
        <w:rPr>
          <w:i/>
          <w:sz w:val="24"/>
          <w:szCs w:val="24"/>
        </w:rPr>
        <w:t xml:space="preserve">Prawda </w:t>
      </w:r>
      <w:r w:rsidR="009872CE">
        <w:rPr>
          <w:sz w:val="24"/>
          <w:szCs w:val="24"/>
        </w:rPr>
        <w:t>bei, was sie zu wissen, zu denken, zu glauben haben. Und es tut nicht gut, davon a</w:t>
      </w:r>
      <w:r w:rsidR="009872CE">
        <w:rPr>
          <w:sz w:val="24"/>
          <w:szCs w:val="24"/>
        </w:rPr>
        <w:t>b</w:t>
      </w:r>
      <w:r w:rsidR="009872CE">
        <w:rPr>
          <w:sz w:val="24"/>
          <w:szCs w:val="24"/>
        </w:rPr>
        <w:t>zuweichen!“</w:t>
      </w:r>
      <w:r>
        <w:rPr>
          <w:rStyle w:val="Funotenzeichen"/>
          <w:sz w:val="24"/>
          <w:szCs w:val="24"/>
        </w:rPr>
        <w:footnoteReference w:id="35"/>
      </w:r>
      <w:r w:rsidR="009872CE">
        <w:rPr>
          <w:sz w:val="24"/>
          <w:szCs w:val="24"/>
        </w:rPr>
        <w:t xml:space="preserve"> </w:t>
      </w:r>
      <w:r>
        <w:rPr>
          <w:sz w:val="24"/>
          <w:szCs w:val="24"/>
        </w:rPr>
        <w:t>Gide kritisiert die fehlende Information</w:t>
      </w:r>
      <w:r w:rsidR="00952D06">
        <w:rPr>
          <w:sz w:val="24"/>
          <w:szCs w:val="24"/>
        </w:rPr>
        <w:t>en über das, was im Ausland geschieht</w:t>
      </w:r>
      <w:r>
        <w:rPr>
          <w:sz w:val="24"/>
          <w:szCs w:val="24"/>
        </w:rPr>
        <w:t xml:space="preserve">: </w:t>
      </w:r>
      <w:r w:rsidR="009872CE">
        <w:rPr>
          <w:sz w:val="24"/>
          <w:szCs w:val="24"/>
        </w:rPr>
        <w:t xml:space="preserve">„Der Sowjetbürger verbleibt in einer außerordentlichen Unwissenheit über das Ausland. Mehr </w:t>
      </w:r>
      <w:r w:rsidR="009872CE">
        <w:rPr>
          <w:sz w:val="24"/>
          <w:szCs w:val="24"/>
        </w:rPr>
        <w:lastRenderedPageBreak/>
        <w:t xml:space="preserve">noch: Man hat ihm eingeredet, </w:t>
      </w:r>
      <w:proofErr w:type="spellStart"/>
      <w:r w:rsidR="009872CE">
        <w:rPr>
          <w:sz w:val="24"/>
          <w:szCs w:val="24"/>
        </w:rPr>
        <w:t>daß</w:t>
      </w:r>
      <w:proofErr w:type="spellEnd"/>
      <w:r w:rsidR="009872CE">
        <w:rPr>
          <w:sz w:val="24"/>
          <w:szCs w:val="24"/>
        </w:rPr>
        <w:t xml:space="preserve"> im Ausland alles, und zwar in allen Bereichen, bei weitem nicht so gut funktioniere wie in der UdSSR. Diese Illusion wird kunstvoll genährt“</w:t>
      </w:r>
      <w:r>
        <w:rPr>
          <w:sz w:val="24"/>
          <w:szCs w:val="24"/>
        </w:rPr>
        <w:t>.</w:t>
      </w:r>
      <w:r>
        <w:rPr>
          <w:rStyle w:val="Funotenzeichen"/>
          <w:sz w:val="24"/>
          <w:szCs w:val="24"/>
        </w:rPr>
        <w:footnoteReference w:id="36"/>
      </w:r>
      <w:r w:rsidR="009872CE">
        <w:rPr>
          <w:sz w:val="24"/>
          <w:szCs w:val="24"/>
        </w:rPr>
        <w:t xml:space="preserve"> </w:t>
      </w:r>
      <w:r w:rsidR="00952D06">
        <w:rPr>
          <w:sz w:val="24"/>
          <w:szCs w:val="24"/>
        </w:rPr>
        <w:t>Öffen</w:t>
      </w:r>
      <w:r w:rsidR="00952D06">
        <w:rPr>
          <w:sz w:val="24"/>
          <w:szCs w:val="24"/>
        </w:rPr>
        <w:t>t</w:t>
      </w:r>
      <w:r w:rsidR="00952D06">
        <w:rPr>
          <w:sz w:val="24"/>
          <w:szCs w:val="24"/>
        </w:rPr>
        <w:t>liche Beschwerden haben nur vordergründig die Funktion, Missstände abzustellen; sie sind In</w:t>
      </w:r>
      <w:r w:rsidR="009872CE">
        <w:rPr>
          <w:sz w:val="24"/>
          <w:szCs w:val="24"/>
        </w:rPr>
        <w:t>s</w:t>
      </w:r>
      <w:r w:rsidR="00952D06">
        <w:rPr>
          <w:sz w:val="24"/>
          <w:szCs w:val="24"/>
        </w:rPr>
        <w:t xml:space="preserve">trumente, mit denen die </w:t>
      </w:r>
      <w:r w:rsidR="009872CE">
        <w:rPr>
          <w:sz w:val="24"/>
          <w:szCs w:val="24"/>
        </w:rPr>
        <w:t xml:space="preserve">Linientreue </w:t>
      </w:r>
      <w:r w:rsidR="00952D06">
        <w:rPr>
          <w:sz w:val="24"/>
          <w:szCs w:val="24"/>
        </w:rPr>
        <w:t>abgefragt wird</w:t>
      </w:r>
      <w:r w:rsidR="009872CE">
        <w:rPr>
          <w:sz w:val="24"/>
          <w:szCs w:val="24"/>
        </w:rPr>
        <w:t xml:space="preserve">: „Aber dann begreife ich bald, </w:t>
      </w:r>
      <w:proofErr w:type="spellStart"/>
      <w:r w:rsidR="009872CE">
        <w:rPr>
          <w:sz w:val="24"/>
          <w:szCs w:val="24"/>
        </w:rPr>
        <w:t>daß</w:t>
      </w:r>
      <w:proofErr w:type="spellEnd"/>
      <w:r w:rsidR="009872CE">
        <w:rPr>
          <w:sz w:val="24"/>
          <w:szCs w:val="24"/>
        </w:rPr>
        <w:t xml:space="preserve"> n</w:t>
      </w:r>
      <w:r w:rsidR="009872CE">
        <w:rPr>
          <w:sz w:val="24"/>
          <w:szCs w:val="24"/>
        </w:rPr>
        <w:t>e</w:t>
      </w:r>
      <w:r w:rsidR="009872CE">
        <w:rPr>
          <w:sz w:val="24"/>
          <w:szCs w:val="24"/>
        </w:rPr>
        <w:t>ben Denunziationen und Beschwerden (die Suppe im Speiseaal war schlecht zubereitet oder der Lesesaal im Klubhaus schlecht gekehrt) diese sogenannte Kritik nichts anderes als eine öffentliche Befragung über die ‚Linientreue‘ ist. Die Linie selbst ist tabu, bleibt von kritischer Betrachtung ausgeschlossen.“</w:t>
      </w:r>
      <w:r w:rsidR="001458B2">
        <w:rPr>
          <w:rStyle w:val="Funotenzeichen"/>
          <w:sz w:val="24"/>
          <w:szCs w:val="24"/>
        </w:rPr>
        <w:footnoteReference w:id="37"/>
      </w:r>
      <w:r w:rsidR="009872CE">
        <w:rPr>
          <w:sz w:val="24"/>
          <w:szCs w:val="24"/>
        </w:rPr>
        <w:t xml:space="preserve"> </w:t>
      </w:r>
      <w:r w:rsidR="00952D06">
        <w:rPr>
          <w:sz w:val="24"/>
          <w:szCs w:val="24"/>
        </w:rPr>
        <w:t>In dem Wechselspiel von Lob und Kritik spielt d</w:t>
      </w:r>
      <w:r w:rsidR="009872CE">
        <w:rPr>
          <w:sz w:val="24"/>
          <w:szCs w:val="24"/>
        </w:rPr>
        <w:t xml:space="preserve">as normale Urteilsvermögen </w:t>
      </w:r>
      <w:r w:rsidR="00952D06">
        <w:rPr>
          <w:sz w:val="24"/>
          <w:szCs w:val="24"/>
        </w:rPr>
        <w:t>keine Rolle</w:t>
      </w:r>
      <w:r w:rsidR="009872CE">
        <w:rPr>
          <w:sz w:val="24"/>
          <w:szCs w:val="24"/>
        </w:rPr>
        <w:t xml:space="preserve">. Als </w:t>
      </w:r>
      <w:r w:rsidR="00952D06">
        <w:rPr>
          <w:sz w:val="24"/>
          <w:szCs w:val="24"/>
        </w:rPr>
        <w:t>ein</w:t>
      </w:r>
      <w:r w:rsidR="009872CE">
        <w:rPr>
          <w:sz w:val="24"/>
          <w:szCs w:val="24"/>
        </w:rPr>
        <w:t xml:space="preserve"> Stachanow-Aktivist Gide beteuert: „Ihm sei es gelu</w:t>
      </w:r>
      <w:r w:rsidR="009872CE">
        <w:rPr>
          <w:sz w:val="24"/>
          <w:szCs w:val="24"/>
        </w:rPr>
        <w:t>n</w:t>
      </w:r>
      <w:r w:rsidR="009872CE">
        <w:rPr>
          <w:sz w:val="24"/>
          <w:szCs w:val="24"/>
        </w:rPr>
        <w:t>gen, […] in fünf Stunden die Arbeit für acht Tage zu verrichten […]“, nimmt Gide</w:t>
      </w:r>
      <w:r w:rsidR="006057D0">
        <w:rPr>
          <w:sz w:val="24"/>
          <w:szCs w:val="24"/>
        </w:rPr>
        <w:t>, d</w:t>
      </w:r>
      <w:r w:rsidR="00952D06">
        <w:rPr>
          <w:sz w:val="24"/>
          <w:szCs w:val="24"/>
        </w:rPr>
        <w:t>i</w:t>
      </w:r>
      <w:r w:rsidR="006057D0">
        <w:rPr>
          <w:sz w:val="24"/>
          <w:szCs w:val="24"/>
        </w:rPr>
        <w:t>e log</w:t>
      </w:r>
      <w:r w:rsidR="006057D0">
        <w:rPr>
          <w:sz w:val="24"/>
          <w:szCs w:val="24"/>
        </w:rPr>
        <w:t>i</w:t>
      </w:r>
      <w:r w:rsidR="006057D0">
        <w:rPr>
          <w:sz w:val="24"/>
          <w:szCs w:val="24"/>
        </w:rPr>
        <w:t xml:space="preserve">sche </w:t>
      </w:r>
      <w:r w:rsidR="00952D06">
        <w:rPr>
          <w:sz w:val="24"/>
          <w:szCs w:val="24"/>
        </w:rPr>
        <w:t>Problematik</w:t>
      </w:r>
      <w:r w:rsidR="006057D0">
        <w:rPr>
          <w:sz w:val="24"/>
          <w:szCs w:val="24"/>
        </w:rPr>
        <w:t xml:space="preserve"> dieser Behauptung aufnehmend,</w:t>
      </w:r>
      <w:r w:rsidR="009872CE">
        <w:rPr>
          <w:sz w:val="24"/>
          <w:szCs w:val="24"/>
        </w:rPr>
        <w:t xml:space="preserve"> </w:t>
      </w:r>
      <w:r w:rsidR="00615429">
        <w:rPr>
          <w:sz w:val="24"/>
          <w:szCs w:val="24"/>
        </w:rPr>
        <w:t xml:space="preserve">sich </w:t>
      </w:r>
      <w:r w:rsidR="009872CE">
        <w:rPr>
          <w:sz w:val="24"/>
          <w:szCs w:val="24"/>
        </w:rPr>
        <w:t xml:space="preserve">„die Freiheit zu fragen, ob das nicht darauf hinauslaufe, </w:t>
      </w:r>
      <w:proofErr w:type="spellStart"/>
      <w:r w:rsidR="009872CE">
        <w:rPr>
          <w:sz w:val="24"/>
          <w:szCs w:val="24"/>
        </w:rPr>
        <w:t>daß</w:t>
      </w:r>
      <w:proofErr w:type="spellEnd"/>
      <w:r w:rsidR="009872CE">
        <w:rPr>
          <w:sz w:val="24"/>
          <w:szCs w:val="24"/>
        </w:rPr>
        <w:t xml:space="preserve"> er früher acht Tage brauchte, um Arbeit für fünf Stunden zu bewält</w:t>
      </w:r>
      <w:r w:rsidR="009872CE">
        <w:rPr>
          <w:sz w:val="24"/>
          <w:szCs w:val="24"/>
        </w:rPr>
        <w:t>i</w:t>
      </w:r>
      <w:r w:rsidR="009872CE">
        <w:rPr>
          <w:sz w:val="24"/>
          <w:szCs w:val="24"/>
        </w:rPr>
        <w:t xml:space="preserve">gen?“ Die </w:t>
      </w:r>
      <w:r w:rsidR="006057D0">
        <w:rPr>
          <w:sz w:val="24"/>
          <w:szCs w:val="24"/>
        </w:rPr>
        <w:t xml:space="preserve">Reaktion ist bezeichnend: Die </w:t>
      </w:r>
      <w:r w:rsidR="009872CE">
        <w:rPr>
          <w:sz w:val="24"/>
          <w:szCs w:val="24"/>
        </w:rPr>
        <w:t>Frage „wird ziemlich schlecht aufgenommen, und man antwortet darauf lieber nicht.“</w:t>
      </w:r>
      <w:r w:rsidR="001458B2">
        <w:rPr>
          <w:rStyle w:val="Funotenzeichen"/>
          <w:sz w:val="24"/>
          <w:szCs w:val="24"/>
        </w:rPr>
        <w:footnoteReference w:id="38"/>
      </w:r>
      <w:r w:rsidR="009872CE">
        <w:rPr>
          <w:sz w:val="24"/>
          <w:szCs w:val="24"/>
        </w:rPr>
        <w:t xml:space="preserve"> </w:t>
      </w:r>
    </w:p>
    <w:p w:rsidR="009872CE" w:rsidRDefault="00A8634F" w:rsidP="00E41506">
      <w:pPr>
        <w:spacing w:after="0"/>
        <w:ind w:firstLine="708"/>
        <w:jc w:val="both"/>
        <w:rPr>
          <w:sz w:val="24"/>
          <w:szCs w:val="24"/>
        </w:rPr>
      </w:pPr>
      <w:r>
        <w:rPr>
          <w:sz w:val="24"/>
          <w:szCs w:val="24"/>
        </w:rPr>
        <w:t xml:space="preserve">Der Alltag ist von einer Vielzahl solcher Details geprägt. </w:t>
      </w:r>
      <w:r w:rsidR="006057D0">
        <w:rPr>
          <w:sz w:val="24"/>
          <w:szCs w:val="24"/>
        </w:rPr>
        <w:t>D</w:t>
      </w:r>
      <w:r w:rsidR="001458B2">
        <w:rPr>
          <w:sz w:val="24"/>
          <w:szCs w:val="24"/>
        </w:rPr>
        <w:t>ie Übertreibung ist das Normale: „</w:t>
      </w:r>
      <w:r w:rsidR="009872CE">
        <w:rPr>
          <w:sz w:val="24"/>
          <w:szCs w:val="24"/>
        </w:rPr>
        <w:t>Das Schöne ist sofort „unvergleichlich“.</w:t>
      </w:r>
      <w:r w:rsidR="001458B2">
        <w:rPr>
          <w:rStyle w:val="Funotenzeichen"/>
          <w:sz w:val="24"/>
          <w:szCs w:val="24"/>
        </w:rPr>
        <w:footnoteReference w:id="39"/>
      </w:r>
      <w:r w:rsidR="009872CE">
        <w:rPr>
          <w:sz w:val="24"/>
          <w:szCs w:val="24"/>
        </w:rPr>
        <w:t xml:space="preserve"> Kritik oder auch nur vorsichtiger Zwe</w:t>
      </w:r>
      <w:r w:rsidR="009872CE">
        <w:rPr>
          <w:sz w:val="24"/>
          <w:szCs w:val="24"/>
        </w:rPr>
        <w:t>i</w:t>
      </w:r>
      <w:r w:rsidR="009872CE">
        <w:rPr>
          <w:sz w:val="24"/>
          <w:szCs w:val="24"/>
        </w:rPr>
        <w:t>fel, etwa an den hohen Gewinnausschüttungen der Kolchosen</w:t>
      </w:r>
      <w:r w:rsidR="001458B2">
        <w:rPr>
          <w:sz w:val="24"/>
          <w:szCs w:val="24"/>
        </w:rPr>
        <w:t>,</w:t>
      </w:r>
      <w:r w:rsidR="001458B2">
        <w:rPr>
          <w:rStyle w:val="Funotenzeichen"/>
          <w:sz w:val="24"/>
          <w:szCs w:val="24"/>
        </w:rPr>
        <w:footnoteReference w:id="40"/>
      </w:r>
      <w:r w:rsidR="009872CE">
        <w:rPr>
          <w:sz w:val="24"/>
          <w:szCs w:val="24"/>
        </w:rPr>
        <w:t xml:space="preserve"> w</w:t>
      </w:r>
      <w:r w:rsidR="001458B2">
        <w:rPr>
          <w:sz w:val="24"/>
          <w:szCs w:val="24"/>
        </w:rPr>
        <w:t>i</w:t>
      </w:r>
      <w:r w:rsidR="009872CE">
        <w:rPr>
          <w:sz w:val="24"/>
          <w:szCs w:val="24"/>
        </w:rPr>
        <w:t>rd</w:t>
      </w:r>
      <w:r w:rsidR="006057D0">
        <w:rPr>
          <w:sz w:val="24"/>
          <w:szCs w:val="24"/>
        </w:rPr>
        <w:t xml:space="preserve"> </w:t>
      </w:r>
      <w:r w:rsidR="009872CE">
        <w:rPr>
          <w:sz w:val="24"/>
          <w:szCs w:val="24"/>
        </w:rPr>
        <w:t xml:space="preserve">nicht gerne gehört. Das Urteil, das Gide über den „Geist der Revolution“ fällt, kommt </w:t>
      </w:r>
      <w:r>
        <w:rPr>
          <w:sz w:val="24"/>
          <w:szCs w:val="24"/>
        </w:rPr>
        <w:t xml:space="preserve">daher </w:t>
      </w:r>
      <w:r w:rsidR="009872CE">
        <w:rPr>
          <w:sz w:val="24"/>
          <w:szCs w:val="24"/>
        </w:rPr>
        <w:t>einem Desaster gleich: „[D]er geringste Protest, die geringste Kritik [ist] mit schwersten Strafen bedroht und wird sofort erstickt. Und ich bezweifel</w:t>
      </w:r>
      <w:r w:rsidR="00FF3991">
        <w:rPr>
          <w:sz w:val="24"/>
          <w:szCs w:val="24"/>
        </w:rPr>
        <w:t>e</w:t>
      </w:r>
      <w:r w:rsidR="009872CE">
        <w:rPr>
          <w:sz w:val="24"/>
          <w:szCs w:val="24"/>
        </w:rPr>
        <w:t xml:space="preserve">, </w:t>
      </w:r>
      <w:proofErr w:type="spellStart"/>
      <w:r w:rsidR="009872CE">
        <w:rPr>
          <w:sz w:val="24"/>
          <w:szCs w:val="24"/>
        </w:rPr>
        <w:t>daß</w:t>
      </w:r>
      <w:proofErr w:type="spellEnd"/>
      <w:r w:rsidR="009872CE">
        <w:rPr>
          <w:sz w:val="24"/>
          <w:szCs w:val="24"/>
        </w:rPr>
        <w:t xml:space="preserve"> in irgendeinem anderen Land heute, und wäre es Hi</w:t>
      </w:r>
      <w:r w:rsidR="009872CE">
        <w:rPr>
          <w:sz w:val="24"/>
          <w:szCs w:val="24"/>
        </w:rPr>
        <w:t>t</w:t>
      </w:r>
      <w:r w:rsidR="009872CE">
        <w:rPr>
          <w:sz w:val="24"/>
          <w:szCs w:val="24"/>
        </w:rPr>
        <w:t>ler-Deutschland</w:t>
      </w:r>
      <w:r w:rsidR="00615429">
        <w:rPr>
          <w:sz w:val="24"/>
          <w:szCs w:val="24"/>
        </w:rPr>
        <w:t xml:space="preserve"> [!]</w:t>
      </w:r>
      <w:r w:rsidR="009872CE">
        <w:rPr>
          <w:sz w:val="24"/>
          <w:szCs w:val="24"/>
        </w:rPr>
        <w:t>, der Geist weniger frei ist, mehr gebeugt wird, mehr verängstigt ist, mehr terrorisiert und unterjocht.“</w:t>
      </w:r>
      <w:r w:rsidR="001458B2">
        <w:rPr>
          <w:rStyle w:val="Funotenzeichen"/>
          <w:sz w:val="24"/>
          <w:szCs w:val="24"/>
        </w:rPr>
        <w:footnoteReference w:id="41"/>
      </w:r>
      <w:r w:rsidR="009872CE">
        <w:rPr>
          <w:sz w:val="24"/>
          <w:szCs w:val="24"/>
        </w:rPr>
        <w:t xml:space="preserve"> Der Konformismus wird unter diesen Umständen „so natürlich, geht so ins Blut über, </w:t>
      </w:r>
      <w:proofErr w:type="spellStart"/>
      <w:r w:rsidR="009872CE">
        <w:rPr>
          <w:sz w:val="24"/>
          <w:szCs w:val="24"/>
        </w:rPr>
        <w:t>daß</w:t>
      </w:r>
      <w:proofErr w:type="spellEnd"/>
      <w:r w:rsidR="009872CE">
        <w:rPr>
          <w:sz w:val="24"/>
          <w:szCs w:val="24"/>
        </w:rPr>
        <w:t xml:space="preserve"> vermutlich nicht einmal Heuchelei dabei im Spiele ist.“</w:t>
      </w:r>
      <w:r w:rsidR="001458B2">
        <w:rPr>
          <w:rStyle w:val="Funotenzeichen"/>
          <w:sz w:val="24"/>
          <w:szCs w:val="24"/>
        </w:rPr>
        <w:footnoteReference w:id="42"/>
      </w:r>
      <w:r w:rsidR="009872CE">
        <w:rPr>
          <w:sz w:val="24"/>
          <w:szCs w:val="24"/>
        </w:rPr>
        <w:t xml:space="preserve"> Die polit</w:t>
      </w:r>
      <w:r w:rsidR="009872CE">
        <w:rPr>
          <w:sz w:val="24"/>
          <w:szCs w:val="24"/>
        </w:rPr>
        <w:t>i</w:t>
      </w:r>
      <w:r w:rsidR="009872CE">
        <w:rPr>
          <w:sz w:val="24"/>
          <w:szCs w:val="24"/>
        </w:rPr>
        <w:t xml:space="preserve">schen Auswirkungen sind erschreckend: „Folglich werden als ‚Trotzkisten‘ alle diejenigen zu betrachten sein, die nicht ihre Zufriedenheit bekunden, so </w:t>
      </w:r>
      <w:proofErr w:type="spellStart"/>
      <w:r w:rsidR="009872CE">
        <w:rPr>
          <w:sz w:val="24"/>
          <w:szCs w:val="24"/>
        </w:rPr>
        <w:t>daß</w:t>
      </w:r>
      <w:proofErr w:type="spellEnd"/>
      <w:r w:rsidR="009872CE">
        <w:rPr>
          <w:sz w:val="24"/>
          <w:szCs w:val="24"/>
        </w:rPr>
        <w:t xml:space="preserve"> man sich schließlich fragt, ob Lenin selbst, käme er heute auf die Erde zurück, nicht vielleicht …?“</w:t>
      </w:r>
      <w:r w:rsidR="001458B2">
        <w:rPr>
          <w:rStyle w:val="Funotenzeichen"/>
          <w:sz w:val="24"/>
          <w:szCs w:val="24"/>
        </w:rPr>
        <w:footnoteReference w:id="43"/>
      </w:r>
    </w:p>
    <w:p w:rsidR="009872CE" w:rsidRDefault="009872CE" w:rsidP="00E41506">
      <w:pPr>
        <w:spacing w:after="0"/>
        <w:ind w:firstLine="708"/>
        <w:jc w:val="both"/>
        <w:rPr>
          <w:sz w:val="24"/>
          <w:szCs w:val="24"/>
        </w:rPr>
      </w:pPr>
      <w:r w:rsidRPr="00523D60">
        <w:rPr>
          <w:sz w:val="24"/>
          <w:szCs w:val="24"/>
        </w:rPr>
        <w:t xml:space="preserve">Das </w:t>
      </w:r>
      <w:r>
        <w:rPr>
          <w:sz w:val="24"/>
          <w:szCs w:val="24"/>
        </w:rPr>
        <w:t xml:space="preserve">Gegenbild </w:t>
      </w:r>
      <w:r w:rsidR="00A8634F">
        <w:rPr>
          <w:sz w:val="24"/>
          <w:szCs w:val="24"/>
        </w:rPr>
        <w:t xml:space="preserve">für Gide </w:t>
      </w:r>
      <w:r>
        <w:rPr>
          <w:sz w:val="24"/>
          <w:szCs w:val="24"/>
        </w:rPr>
        <w:t>ist der Schriftsteller bzw. die „Oppositionskraft“ des schrif</w:t>
      </w:r>
      <w:r>
        <w:rPr>
          <w:sz w:val="24"/>
          <w:szCs w:val="24"/>
        </w:rPr>
        <w:t>t</w:t>
      </w:r>
      <w:r>
        <w:rPr>
          <w:sz w:val="24"/>
          <w:szCs w:val="24"/>
        </w:rPr>
        <w:t>stellerischen Wortes</w:t>
      </w:r>
      <w:r w:rsidRPr="00523D60">
        <w:rPr>
          <w:sz w:val="24"/>
          <w:szCs w:val="24"/>
        </w:rPr>
        <w:t>:</w:t>
      </w:r>
      <w:r>
        <w:rPr>
          <w:b/>
          <w:sz w:val="24"/>
          <w:szCs w:val="24"/>
        </w:rPr>
        <w:t xml:space="preserve"> </w:t>
      </w:r>
      <w:r>
        <w:rPr>
          <w:sz w:val="24"/>
          <w:szCs w:val="24"/>
        </w:rPr>
        <w:t xml:space="preserve">„Ich glaube, </w:t>
      </w:r>
      <w:proofErr w:type="spellStart"/>
      <w:r>
        <w:rPr>
          <w:sz w:val="24"/>
          <w:szCs w:val="24"/>
        </w:rPr>
        <w:t>daß</w:t>
      </w:r>
      <w:proofErr w:type="spellEnd"/>
      <w:r>
        <w:rPr>
          <w:sz w:val="24"/>
          <w:szCs w:val="24"/>
        </w:rPr>
        <w:t xml:space="preserve"> die Bedeutung eines Schriftstellers von der revoluti</w:t>
      </w:r>
      <w:r>
        <w:rPr>
          <w:sz w:val="24"/>
          <w:szCs w:val="24"/>
        </w:rPr>
        <w:t>o</w:t>
      </w:r>
      <w:r>
        <w:rPr>
          <w:sz w:val="24"/>
          <w:szCs w:val="24"/>
        </w:rPr>
        <w:t xml:space="preserve">nären Kraft abhängt, die ihn beseelt, oder genauer […]: von seiner Oppositionskraft. Dieser Kraft begegnen wir </w:t>
      </w:r>
      <w:proofErr w:type="spellStart"/>
      <w:r>
        <w:rPr>
          <w:sz w:val="24"/>
          <w:szCs w:val="24"/>
        </w:rPr>
        <w:t>ebensogut</w:t>
      </w:r>
      <w:proofErr w:type="spellEnd"/>
      <w:r>
        <w:rPr>
          <w:sz w:val="24"/>
          <w:szCs w:val="24"/>
        </w:rPr>
        <w:t xml:space="preserve"> bei Bossuet, Chateaubriand oder, heutzutage, bei Claudel, wie bei Molière.“</w:t>
      </w:r>
      <w:r w:rsidR="001458B2">
        <w:rPr>
          <w:rStyle w:val="Funotenzeichen"/>
          <w:sz w:val="24"/>
          <w:szCs w:val="24"/>
        </w:rPr>
        <w:footnoteReference w:id="44"/>
      </w:r>
      <w:r>
        <w:rPr>
          <w:sz w:val="24"/>
          <w:szCs w:val="24"/>
        </w:rPr>
        <w:t xml:space="preserve"> Der Schriftsteller muss „Wahrheit“ formulieren, denn nur die Wahrheit – auch die schmerzliche – kann „heilen“: „Die Lüge, und wäre es auch nur die des Schweigens, kann opportun erscheinen, opportun auch die Beharrlichkeit in der Lüge, aber sie macht dem Feind </w:t>
      </w:r>
      <w:r>
        <w:rPr>
          <w:sz w:val="24"/>
          <w:szCs w:val="24"/>
        </w:rPr>
        <w:lastRenderedPageBreak/>
        <w:t>das Spiel allzu leicht; die Wahrheit, so schmerzlich sie sein mag, kann nur verletzen, um zu heilen.“</w:t>
      </w:r>
      <w:r w:rsidR="001458B2">
        <w:rPr>
          <w:rStyle w:val="Funotenzeichen"/>
          <w:sz w:val="24"/>
          <w:szCs w:val="24"/>
        </w:rPr>
        <w:footnoteReference w:id="45"/>
      </w:r>
      <w:r>
        <w:rPr>
          <w:sz w:val="24"/>
          <w:szCs w:val="24"/>
        </w:rPr>
        <w:t xml:space="preserve"> </w:t>
      </w:r>
    </w:p>
    <w:p w:rsidR="009872CE" w:rsidRDefault="00253515" w:rsidP="00E41506">
      <w:pPr>
        <w:spacing w:after="0"/>
        <w:ind w:firstLine="708"/>
        <w:jc w:val="both"/>
        <w:rPr>
          <w:sz w:val="24"/>
          <w:szCs w:val="24"/>
        </w:rPr>
      </w:pPr>
      <w:r>
        <w:rPr>
          <w:sz w:val="24"/>
          <w:szCs w:val="24"/>
        </w:rPr>
        <w:t xml:space="preserve">Der Künstler muss sich in einem freien, humanen Staat artikulieren können. </w:t>
      </w:r>
      <w:r w:rsidR="009872CE">
        <w:rPr>
          <w:sz w:val="24"/>
          <w:szCs w:val="24"/>
        </w:rPr>
        <w:t>Als Be</w:t>
      </w:r>
      <w:r w:rsidR="009872CE">
        <w:rPr>
          <w:sz w:val="24"/>
          <w:szCs w:val="24"/>
        </w:rPr>
        <w:t>i</w:t>
      </w:r>
      <w:r w:rsidR="009872CE">
        <w:rPr>
          <w:sz w:val="24"/>
          <w:szCs w:val="24"/>
        </w:rPr>
        <w:t>spiel für die Künstler, die in der S</w:t>
      </w:r>
      <w:r w:rsidR="00A8634F">
        <w:rPr>
          <w:sz w:val="24"/>
          <w:szCs w:val="24"/>
        </w:rPr>
        <w:t>owjetunion</w:t>
      </w:r>
      <w:r w:rsidR="009872CE">
        <w:rPr>
          <w:sz w:val="24"/>
          <w:szCs w:val="24"/>
        </w:rPr>
        <w:t xml:space="preserve"> zum Schweigen gebracht worden sind, nennt Gide Schostakowitsch</w:t>
      </w:r>
      <w:r w:rsidR="000B3E8B">
        <w:rPr>
          <w:sz w:val="24"/>
          <w:szCs w:val="24"/>
        </w:rPr>
        <w:t>.</w:t>
      </w:r>
      <w:r w:rsidR="000B3E8B">
        <w:rPr>
          <w:rStyle w:val="Funotenzeichen"/>
          <w:sz w:val="24"/>
          <w:szCs w:val="24"/>
        </w:rPr>
        <w:footnoteReference w:id="46"/>
      </w:r>
      <w:r w:rsidR="009872CE">
        <w:rPr>
          <w:sz w:val="24"/>
          <w:szCs w:val="24"/>
        </w:rPr>
        <w:t xml:space="preserve"> Der Vorwurf ist „Formalismus“</w:t>
      </w:r>
      <w:r w:rsidR="000B3E8B">
        <w:rPr>
          <w:sz w:val="24"/>
          <w:szCs w:val="24"/>
        </w:rPr>
        <w:t>.</w:t>
      </w:r>
      <w:r w:rsidR="000B3E8B">
        <w:rPr>
          <w:rStyle w:val="Funotenzeichen"/>
          <w:sz w:val="24"/>
          <w:szCs w:val="24"/>
        </w:rPr>
        <w:footnoteReference w:id="47"/>
      </w:r>
      <w:r w:rsidR="009872CE">
        <w:rPr>
          <w:sz w:val="24"/>
          <w:szCs w:val="24"/>
        </w:rPr>
        <w:t xml:space="preserve"> Es ist eine Kategorie, die überall anwendbar und nicht mehr hinterfragbar ist: „In den Verdacht des Formalismus gerät jeder Künstler, der schuldig befunden wird, dem </w:t>
      </w:r>
      <w:r w:rsidR="009872CE">
        <w:rPr>
          <w:i/>
          <w:sz w:val="24"/>
          <w:szCs w:val="24"/>
        </w:rPr>
        <w:t>Inhalt</w:t>
      </w:r>
      <w:r w:rsidR="009872CE">
        <w:rPr>
          <w:sz w:val="24"/>
          <w:szCs w:val="24"/>
        </w:rPr>
        <w:t xml:space="preserve"> eine geringere Bedeutung beizumessen als der </w:t>
      </w:r>
      <w:r w:rsidR="009872CE">
        <w:rPr>
          <w:i/>
          <w:sz w:val="24"/>
          <w:szCs w:val="24"/>
        </w:rPr>
        <w:t>Form.“</w:t>
      </w:r>
      <w:r w:rsidR="000B3E8B">
        <w:rPr>
          <w:rStyle w:val="Funotenzeichen"/>
          <w:i/>
          <w:sz w:val="24"/>
          <w:szCs w:val="24"/>
        </w:rPr>
        <w:footnoteReference w:id="48"/>
      </w:r>
      <w:r w:rsidR="009872CE">
        <w:rPr>
          <w:sz w:val="24"/>
          <w:szCs w:val="24"/>
        </w:rPr>
        <w:t xml:space="preserve"> </w:t>
      </w:r>
      <w:r w:rsidR="006057D0">
        <w:rPr>
          <w:sz w:val="24"/>
          <w:szCs w:val="24"/>
        </w:rPr>
        <w:t>– G</w:t>
      </w:r>
      <w:r w:rsidR="009872CE">
        <w:rPr>
          <w:sz w:val="24"/>
          <w:szCs w:val="24"/>
        </w:rPr>
        <w:t xml:space="preserve">ide äußert sich – in den </w:t>
      </w:r>
      <w:proofErr w:type="spellStart"/>
      <w:r w:rsidR="009872CE">
        <w:rPr>
          <w:i/>
          <w:sz w:val="24"/>
          <w:szCs w:val="24"/>
        </w:rPr>
        <w:t>Retouches</w:t>
      </w:r>
      <w:proofErr w:type="spellEnd"/>
      <w:r w:rsidR="009872CE">
        <w:rPr>
          <w:sz w:val="24"/>
          <w:szCs w:val="24"/>
        </w:rPr>
        <w:t xml:space="preserve"> – </w:t>
      </w:r>
      <w:r>
        <w:rPr>
          <w:sz w:val="24"/>
          <w:szCs w:val="24"/>
        </w:rPr>
        <w:t xml:space="preserve">auch </w:t>
      </w:r>
      <w:r w:rsidR="009872CE">
        <w:rPr>
          <w:sz w:val="24"/>
          <w:szCs w:val="24"/>
        </w:rPr>
        <w:t xml:space="preserve">ausführlich </w:t>
      </w:r>
      <w:r w:rsidR="00A8634F">
        <w:rPr>
          <w:sz w:val="24"/>
          <w:szCs w:val="24"/>
        </w:rPr>
        <w:t>zu</w:t>
      </w:r>
      <w:r w:rsidR="009872CE">
        <w:rPr>
          <w:sz w:val="24"/>
          <w:szCs w:val="24"/>
        </w:rPr>
        <w:t xml:space="preserve"> </w:t>
      </w:r>
      <w:r w:rsidR="00A8634F">
        <w:rPr>
          <w:sz w:val="24"/>
          <w:szCs w:val="24"/>
        </w:rPr>
        <w:t>d</w:t>
      </w:r>
      <w:r w:rsidR="009872CE">
        <w:rPr>
          <w:sz w:val="24"/>
          <w:szCs w:val="24"/>
        </w:rPr>
        <w:t>e</w:t>
      </w:r>
      <w:r w:rsidR="00A8634F">
        <w:rPr>
          <w:sz w:val="24"/>
          <w:szCs w:val="24"/>
        </w:rPr>
        <w:t>n</w:t>
      </w:r>
      <w:r w:rsidR="009872CE">
        <w:rPr>
          <w:sz w:val="24"/>
          <w:szCs w:val="24"/>
        </w:rPr>
        <w:t xml:space="preserve"> Deportationen</w:t>
      </w:r>
      <w:r w:rsidR="00A8634F">
        <w:rPr>
          <w:sz w:val="24"/>
          <w:szCs w:val="24"/>
        </w:rPr>
        <w:t xml:space="preserve">. Er </w:t>
      </w:r>
      <w:r>
        <w:rPr>
          <w:sz w:val="24"/>
          <w:szCs w:val="24"/>
        </w:rPr>
        <w:t>artikuliert</w:t>
      </w:r>
      <w:r w:rsidR="00A8634F">
        <w:rPr>
          <w:sz w:val="24"/>
          <w:szCs w:val="24"/>
        </w:rPr>
        <w:t xml:space="preserve"> jedoch nicht nur </w:t>
      </w:r>
      <w:r>
        <w:rPr>
          <w:sz w:val="24"/>
          <w:szCs w:val="24"/>
        </w:rPr>
        <w:t xml:space="preserve">seine </w:t>
      </w:r>
      <w:r w:rsidR="00A8634F">
        <w:rPr>
          <w:sz w:val="24"/>
          <w:szCs w:val="24"/>
        </w:rPr>
        <w:t xml:space="preserve">Betroffenheit, sondern versucht, sich </w:t>
      </w:r>
      <w:r>
        <w:rPr>
          <w:sz w:val="24"/>
          <w:szCs w:val="24"/>
        </w:rPr>
        <w:t xml:space="preserve">selber </w:t>
      </w:r>
      <w:r w:rsidR="00A8634F">
        <w:rPr>
          <w:sz w:val="24"/>
          <w:szCs w:val="24"/>
        </w:rPr>
        <w:t>in die Lage der Deportierten zu versetzen</w:t>
      </w:r>
      <w:r w:rsidR="009872CE">
        <w:rPr>
          <w:sz w:val="24"/>
          <w:szCs w:val="24"/>
        </w:rPr>
        <w:t xml:space="preserve">: </w:t>
      </w:r>
      <w:r w:rsidR="000B3E8B">
        <w:rPr>
          <w:sz w:val="24"/>
          <w:szCs w:val="24"/>
        </w:rPr>
        <w:t>„Und Deportierte zu Tausenden … […] Ich sehe die Opfer, ich höre sie, ich fühle sie rings um mich herum. Ihre erstickten Schreie haben mich in der letzten Nacht aus dem Schlaf gerissen, und heute diktiert mir ihr Schweigen diese Zeilen.“</w:t>
      </w:r>
      <w:r w:rsidR="000B3E8B">
        <w:rPr>
          <w:rStyle w:val="Funotenzeichen"/>
          <w:sz w:val="24"/>
          <w:szCs w:val="24"/>
        </w:rPr>
        <w:footnoteReference w:id="49"/>
      </w:r>
      <w:r w:rsidR="00D929B1">
        <w:rPr>
          <w:sz w:val="24"/>
          <w:szCs w:val="24"/>
        </w:rPr>
        <w:t xml:space="preserve"> Gides</w:t>
      </w:r>
      <w:r w:rsidR="009872CE">
        <w:rPr>
          <w:sz w:val="24"/>
          <w:szCs w:val="24"/>
        </w:rPr>
        <w:t xml:space="preserve"> Fazit ist erschreckend: „Niemand kommt diesen Opfern zu Hilfe.“ Zu den </w:t>
      </w:r>
      <w:r w:rsidR="009872CE" w:rsidRPr="007E5F4E">
        <w:rPr>
          <w:sz w:val="24"/>
          <w:szCs w:val="24"/>
        </w:rPr>
        <w:t>Prozesse</w:t>
      </w:r>
      <w:r w:rsidR="009872CE">
        <w:rPr>
          <w:sz w:val="24"/>
          <w:szCs w:val="24"/>
        </w:rPr>
        <w:t xml:space="preserve">n </w:t>
      </w:r>
      <w:r w:rsidR="004F7076">
        <w:rPr>
          <w:sz w:val="24"/>
          <w:szCs w:val="24"/>
        </w:rPr>
        <w:t xml:space="preserve">und den angeblichen Geständnissen </w:t>
      </w:r>
      <w:r w:rsidR="009872CE">
        <w:rPr>
          <w:sz w:val="24"/>
          <w:szCs w:val="24"/>
        </w:rPr>
        <w:t>sagt er</w:t>
      </w:r>
      <w:r w:rsidR="009872CE" w:rsidRPr="007E5F4E">
        <w:rPr>
          <w:sz w:val="24"/>
          <w:szCs w:val="24"/>
        </w:rPr>
        <w:t>:</w:t>
      </w:r>
      <w:r w:rsidR="009872CE">
        <w:rPr>
          <w:sz w:val="24"/>
          <w:szCs w:val="24"/>
        </w:rPr>
        <w:t xml:space="preserve"> „Aber der wirkliche Wahrheitswert all dieser Geständni</w:t>
      </w:r>
      <w:r w:rsidR="009872CE">
        <w:rPr>
          <w:sz w:val="24"/>
          <w:szCs w:val="24"/>
        </w:rPr>
        <w:t>s</w:t>
      </w:r>
      <w:r w:rsidR="009872CE">
        <w:rPr>
          <w:sz w:val="24"/>
          <w:szCs w:val="24"/>
        </w:rPr>
        <w:t>se bleibt in meinen Augen höchst fragwürdig.“</w:t>
      </w:r>
      <w:r w:rsidR="00D929B1">
        <w:rPr>
          <w:rStyle w:val="Funotenzeichen"/>
          <w:sz w:val="24"/>
          <w:szCs w:val="24"/>
        </w:rPr>
        <w:footnoteReference w:id="50"/>
      </w:r>
    </w:p>
    <w:p w:rsidR="004F7076" w:rsidRDefault="004F7076" w:rsidP="00E41506">
      <w:pPr>
        <w:spacing w:after="0"/>
        <w:ind w:firstLine="708"/>
        <w:jc w:val="both"/>
        <w:rPr>
          <w:sz w:val="24"/>
          <w:szCs w:val="24"/>
        </w:rPr>
      </w:pPr>
    </w:p>
    <w:p w:rsidR="00A155FB" w:rsidRPr="006718C6" w:rsidRDefault="006718C6" w:rsidP="00E41506">
      <w:pPr>
        <w:spacing w:after="0"/>
        <w:ind w:firstLine="708"/>
        <w:jc w:val="both"/>
        <w:rPr>
          <w:sz w:val="24"/>
          <w:szCs w:val="24"/>
        </w:rPr>
      </w:pPr>
      <w:r>
        <w:rPr>
          <w:sz w:val="24"/>
          <w:szCs w:val="24"/>
        </w:rPr>
        <w:t>Die deutschen Besucher des Ersten Allunionskongresses der Sowjetschriftsteller w</w:t>
      </w:r>
      <w:r>
        <w:rPr>
          <w:sz w:val="24"/>
          <w:szCs w:val="24"/>
        </w:rPr>
        <w:t>a</w:t>
      </w:r>
      <w:r>
        <w:rPr>
          <w:sz w:val="24"/>
          <w:szCs w:val="24"/>
        </w:rPr>
        <w:t xml:space="preserve">ren mit Kaviar verwöhnt worden. Auch Oskar Maria Graf hatte </w:t>
      </w:r>
      <w:r w:rsidR="00253515">
        <w:rPr>
          <w:sz w:val="24"/>
          <w:szCs w:val="24"/>
        </w:rPr>
        <w:t>auf</w:t>
      </w:r>
      <w:r>
        <w:rPr>
          <w:sz w:val="24"/>
          <w:szCs w:val="24"/>
        </w:rPr>
        <w:t xml:space="preserve"> der </w:t>
      </w:r>
      <w:r w:rsidR="00253515">
        <w:rPr>
          <w:sz w:val="24"/>
          <w:szCs w:val="24"/>
        </w:rPr>
        <w:t>F</w:t>
      </w:r>
      <w:r>
        <w:rPr>
          <w:sz w:val="24"/>
          <w:szCs w:val="24"/>
        </w:rPr>
        <w:t xml:space="preserve">ahrt im Zug </w:t>
      </w:r>
      <w:r w:rsidR="00253515">
        <w:rPr>
          <w:sz w:val="24"/>
          <w:szCs w:val="24"/>
        </w:rPr>
        <w:t xml:space="preserve">nach Moskau </w:t>
      </w:r>
      <w:r>
        <w:rPr>
          <w:sz w:val="24"/>
          <w:szCs w:val="24"/>
        </w:rPr>
        <w:t xml:space="preserve">– mit Genuss – Kaviar </w:t>
      </w:r>
      <w:r w:rsidR="004F7076">
        <w:rPr>
          <w:sz w:val="24"/>
          <w:szCs w:val="24"/>
        </w:rPr>
        <w:t>konsumiert</w:t>
      </w:r>
      <w:r>
        <w:rPr>
          <w:sz w:val="24"/>
          <w:szCs w:val="24"/>
        </w:rPr>
        <w:t xml:space="preserve">. Für Gide ist </w:t>
      </w:r>
      <w:proofErr w:type="gramStart"/>
      <w:r>
        <w:rPr>
          <w:sz w:val="24"/>
          <w:szCs w:val="24"/>
        </w:rPr>
        <w:t>d</w:t>
      </w:r>
      <w:r w:rsidR="004F7076">
        <w:rPr>
          <w:sz w:val="24"/>
          <w:szCs w:val="24"/>
        </w:rPr>
        <w:t>a</w:t>
      </w:r>
      <w:r>
        <w:rPr>
          <w:sz w:val="24"/>
          <w:szCs w:val="24"/>
        </w:rPr>
        <w:t>s</w:t>
      </w:r>
      <w:proofErr w:type="gramEnd"/>
      <w:r>
        <w:rPr>
          <w:sz w:val="24"/>
          <w:szCs w:val="24"/>
        </w:rPr>
        <w:t xml:space="preserve"> Völlerei, im Sinne der </w:t>
      </w:r>
      <w:r w:rsidR="004F7076">
        <w:rPr>
          <w:sz w:val="24"/>
          <w:szCs w:val="24"/>
        </w:rPr>
        <w:t>Religion</w:t>
      </w:r>
      <w:r>
        <w:rPr>
          <w:sz w:val="24"/>
          <w:szCs w:val="24"/>
        </w:rPr>
        <w:t xml:space="preserve"> eine Todsünde. </w:t>
      </w:r>
      <w:r w:rsidR="004F7076">
        <w:rPr>
          <w:sz w:val="24"/>
          <w:szCs w:val="24"/>
        </w:rPr>
        <w:t>E</w:t>
      </w:r>
      <w:r>
        <w:rPr>
          <w:sz w:val="24"/>
          <w:szCs w:val="24"/>
        </w:rPr>
        <w:t xml:space="preserve">ine Tagebuchaufzeichnung, die er in den </w:t>
      </w:r>
      <w:proofErr w:type="spellStart"/>
      <w:r>
        <w:rPr>
          <w:i/>
          <w:sz w:val="24"/>
          <w:szCs w:val="24"/>
        </w:rPr>
        <w:t>Retouches</w:t>
      </w:r>
      <w:proofErr w:type="spellEnd"/>
      <w:r>
        <w:rPr>
          <w:sz w:val="24"/>
          <w:szCs w:val="24"/>
        </w:rPr>
        <w:t xml:space="preserve"> zitiert</w:t>
      </w:r>
      <w:r w:rsidR="004F7076">
        <w:rPr>
          <w:sz w:val="24"/>
          <w:szCs w:val="24"/>
        </w:rPr>
        <w:t>, macht dies</w:t>
      </w:r>
      <w:r w:rsidR="004F7076" w:rsidRPr="004F7076">
        <w:rPr>
          <w:sz w:val="24"/>
          <w:szCs w:val="24"/>
        </w:rPr>
        <w:t xml:space="preserve"> </w:t>
      </w:r>
      <w:r w:rsidR="004F7076">
        <w:rPr>
          <w:sz w:val="24"/>
          <w:szCs w:val="24"/>
        </w:rPr>
        <w:t>deu</w:t>
      </w:r>
      <w:r w:rsidR="004F7076">
        <w:rPr>
          <w:sz w:val="24"/>
          <w:szCs w:val="24"/>
        </w:rPr>
        <w:t>t</w:t>
      </w:r>
      <w:r w:rsidR="004F7076">
        <w:rPr>
          <w:sz w:val="24"/>
          <w:szCs w:val="24"/>
        </w:rPr>
        <w:t>lich</w:t>
      </w:r>
      <w:r>
        <w:rPr>
          <w:sz w:val="24"/>
          <w:szCs w:val="24"/>
        </w:rPr>
        <w:t>:</w:t>
      </w:r>
    </w:p>
    <w:p w:rsidR="006718C6" w:rsidRDefault="006718C6" w:rsidP="00E41506">
      <w:pPr>
        <w:spacing w:after="0"/>
        <w:ind w:left="1134"/>
        <w:jc w:val="both"/>
        <w:rPr>
          <w:sz w:val="24"/>
          <w:szCs w:val="24"/>
        </w:rPr>
      </w:pPr>
      <w:r>
        <w:rPr>
          <w:sz w:val="24"/>
          <w:szCs w:val="24"/>
        </w:rPr>
        <w:t>„Ich schreibe hier eine Seite aus meinem Reisetagebuch ab, in das ich täglich Ei</w:t>
      </w:r>
      <w:r>
        <w:rPr>
          <w:sz w:val="24"/>
          <w:szCs w:val="24"/>
        </w:rPr>
        <w:t>n</w:t>
      </w:r>
      <w:r>
        <w:rPr>
          <w:sz w:val="24"/>
          <w:szCs w:val="24"/>
        </w:rPr>
        <w:t xml:space="preserve">tragungen machte: ‚Das für acht Uhr bestellte Diner beginnt um halb neun. Um Viertel nach neun ist man noch nicht zu Ende mit dem </w:t>
      </w:r>
      <w:r>
        <w:rPr>
          <w:i/>
          <w:sz w:val="24"/>
          <w:szCs w:val="24"/>
        </w:rPr>
        <w:t>Herumreichen</w:t>
      </w:r>
      <w:r>
        <w:rPr>
          <w:sz w:val="24"/>
          <w:szCs w:val="24"/>
        </w:rPr>
        <w:t xml:space="preserve"> der Vo</w:t>
      </w:r>
      <w:r>
        <w:rPr>
          <w:sz w:val="24"/>
          <w:szCs w:val="24"/>
        </w:rPr>
        <w:t>r</w:t>
      </w:r>
      <w:r>
        <w:rPr>
          <w:sz w:val="24"/>
          <w:szCs w:val="24"/>
        </w:rPr>
        <w:t xml:space="preserve">speisen. (Wir waren im Kulturpark zum Baden, Herbart, </w:t>
      </w:r>
      <w:proofErr w:type="spellStart"/>
      <w:r>
        <w:rPr>
          <w:sz w:val="24"/>
          <w:szCs w:val="24"/>
        </w:rPr>
        <w:t>Dabit</w:t>
      </w:r>
      <w:proofErr w:type="spellEnd"/>
      <w:r>
        <w:rPr>
          <w:sz w:val="24"/>
          <w:szCs w:val="24"/>
        </w:rPr>
        <w:t xml:space="preserve">, </w:t>
      </w:r>
      <w:proofErr w:type="spellStart"/>
      <w:r>
        <w:rPr>
          <w:sz w:val="24"/>
          <w:szCs w:val="24"/>
        </w:rPr>
        <w:t>Kolzow</w:t>
      </w:r>
      <w:proofErr w:type="spellEnd"/>
      <w:r>
        <w:rPr>
          <w:sz w:val="24"/>
          <w:szCs w:val="24"/>
        </w:rPr>
        <w:t xml:space="preserve"> und ich; wir hatten großen Hunger). Ich verschlinge eine Menge kleiner Pasteten. Da man im Sanatorium wartet, will ich um halb zehn die Tafel aufheben, als ich sehe, wie Suppenlöffel gebracht werden; eine Gemüsesuppe mit Hühnerfleisch; danach soll es einen </w:t>
      </w:r>
      <w:r w:rsidR="00FF3991">
        <w:rPr>
          <w:sz w:val="24"/>
          <w:szCs w:val="24"/>
        </w:rPr>
        <w:t>A</w:t>
      </w:r>
      <w:r>
        <w:rPr>
          <w:sz w:val="24"/>
          <w:szCs w:val="24"/>
        </w:rPr>
        <w:t xml:space="preserve">uflauf mit Krebsschwänzen zusammen mit einem Pilzauflauf geben, dann einen Fisch, verschiedene Braten und Gemüse … Ich gebe auf, um meinen Koffer fertig zu packen und danach ‚einige Zeilen‘ für die </w:t>
      </w:r>
      <w:r>
        <w:rPr>
          <w:i/>
          <w:sz w:val="24"/>
          <w:szCs w:val="24"/>
        </w:rPr>
        <w:t>Prawda</w:t>
      </w:r>
      <w:r>
        <w:rPr>
          <w:sz w:val="24"/>
          <w:szCs w:val="24"/>
        </w:rPr>
        <w:t xml:space="preserve"> zu skizzieren […]. Ich komme noch gerade rechtzeitig zurück, um ein riesiges Stück Eisbombe zu verschlingen. – Ich finde diese Festlichkeiten nicht nur schrecklich, ich halte sie für verwerflich. (Ich </w:t>
      </w:r>
      <w:proofErr w:type="spellStart"/>
      <w:r>
        <w:rPr>
          <w:sz w:val="24"/>
          <w:szCs w:val="24"/>
        </w:rPr>
        <w:t>muß</w:t>
      </w:r>
      <w:proofErr w:type="spellEnd"/>
      <w:r>
        <w:rPr>
          <w:sz w:val="24"/>
          <w:szCs w:val="24"/>
        </w:rPr>
        <w:t xml:space="preserve"> </w:t>
      </w:r>
      <w:proofErr w:type="spellStart"/>
      <w:r>
        <w:rPr>
          <w:sz w:val="24"/>
          <w:szCs w:val="24"/>
        </w:rPr>
        <w:t>Kolzow</w:t>
      </w:r>
      <w:proofErr w:type="spellEnd"/>
      <w:r>
        <w:rPr>
          <w:sz w:val="24"/>
          <w:szCs w:val="24"/>
        </w:rPr>
        <w:t xml:space="preserve"> meine Meinung darüber mitteilen.) Sie sind nicht nur absurd, sondern unmoralisch, unsozial.“</w:t>
      </w:r>
      <w:r>
        <w:rPr>
          <w:rStyle w:val="Funotenzeichen"/>
          <w:sz w:val="24"/>
          <w:szCs w:val="24"/>
        </w:rPr>
        <w:footnoteReference w:id="51"/>
      </w:r>
    </w:p>
    <w:p w:rsidR="001E69F9" w:rsidRDefault="004F7076" w:rsidP="00E41506">
      <w:pPr>
        <w:spacing w:after="0"/>
        <w:jc w:val="both"/>
        <w:rPr>
          <w:sz w:val="24"/>
          <w:szCs w:val="24"/>
        </w:rPr>
      </w:pPr>
      <w:r>
        <w:rPr>
          <w:sz w:val="24"/>
          <w:szCs w:val="24"/>
        </w:rPr>
        <w:t>Die Episode macht</w:t>
      </w:r>
      <w:r w:rsidR="006718C6">
        <w:rPr>
          <w:sz w:val="24"/>
          <w:szCs w:val="24"/>
        </w:rPr>
        <w:t xml:space="preserve"> deutlich, aus welchen Motiven heraus Gide seine Ablehnung formuliert. Hier äußert sich nicht der westeuropäische „Demokrat“, erst recht nicht der „Ästhet“, der, wie Feuchtwanger in infamer Weise formuliert, in der Sowjetunion das „Klosettpapier“ ve</w:t>
      </w:r>
      <w:r w:rsidR="006718C6">
        <w:rPr>
          <w:sz w:val="24"/>
          <w:szCs w:val="24"/>
        </w:rPr>
        <w:t>r</w:t>
      </w:r>
      <w:r w:rsidR="006718C6">
        <w:rPr>
          <w:sz w:val="24"/>
          <w:szCs w:val="24"/>
        </w:rPr>
        <w:lastRenderedPageBreak/>
        <w:t>misst,</w:t>
      </w:r>
      <w:r w:rsidR="006718C6">
        <w:rPr>
          <w:rStyle w:val="Funotenzeichen"/>
          <w:sz w:val="24"/>
          <w:szCs w:val="24"/>
        </w:rPr>
        <w:footnoteReference w:id="52"/>
      </w:r>
      <w:r w:rsidR="001E69F9">
        <w:rPr>
          <w:sz w:val="24"/>
          <w:szCs w:val="24"/>
        </w:rPr>
        <w:t xml:space="preserve"> sondern der </w:t>
      </w:r>
      <w:r w:rsidR="001E69F9" w:rsidRPr="00253515">
        <w:rPr>
          <w:i/>
          <w:sz w:val="24"/>
          <w:szCs w:val="24"/>
        </w:rPr>
        <w:t>gläubige Christ</w:t>
      </w:r>
      <w:r w:rsidR="001E69F9">
        <w:rPr>
          <w:sz w:val="24"/>
          <w:szCs w:val="24"/>
        </w:rPr>
        <w:t xml:space="preserve"> Gide. </w:t>
      </w:r>
      <w:r>
        <w:rPr>
          <w:sz w:val="24"/>
          <w:szCs w:val="24"/>
        </w:rPr>
        <w:t>– W</w:t>
      </w:r>
      <w:r w:rsidR="001E69F9">
        <w:rPr>
          <w:sz w:val="24"/>
          <w:szCs w:val="24"/>
        </w:rPr>
        <w:t xml:space="preserve">ie die Völlerei eine Todsünde ist, so ist auch die fehlende Empathie mit den Armen und Schwachen, der </w:t>
      </w:r>
      <w:r w:rsidR="00253515">
        <w:rPr>
          <w:sz w:val="24"/>
          <w:szCs w:val="24"/>
        </w:rPr>
        <w:t>er</w:t>
      </w:r>
      <w:r w:rsidR="001E69F9">
        <w:rPr>
          <w:sz w:val="24"/>
          <w:szCs w:val="24"/>
        </w:rPr>
        <w:t xml:space="preserve"> </w:t>
      </w:r>
      <w:r>
        <w:rPr>
          <w:sz w:val="24"/>
          <w:szCs w:val="24"/>
        </w:rPr>
        <w:t xml:space="preserve">in der Sowjetunion </w:t>
      </w:r>
      <w:r w:rsidR="001E69F9">
        <w:rPr>
          <w:sz w:val="24"/>
          <w:szCs w:val="24"/>
        </w:rPr>
        <w:t xml:space="preserve">begegnet, für </w:t>
      </w:r>
      <w:r w:rsidR="00253515">
        <w:rPr>
          <w:sz w:val="24"/>
          <w:szCs w:val="24"/>
        </w:rPr>
        <w:t>Gide</w:t>
      </w:r>
      <w:r w:rsidR="001E69F9">
        <w:rPr>
          <w:sz w:val="24"/>
          <w:szCs w:val="24"/>
        </w:rPr>
        <w:t xml:space="preserve"> eine „Todsünde“. Gide schließt </w:t>
      </w:r>
      <w:r w:rsidR="00253515">
        <w:rPr>
          <w:sz w:val="24"/>
          <w:szCs w:val="24"/>
        </w:rPr>
        <w:t xml:space="preserve">sich emotional </w:t>
      </w:r>
      <w:r w:rsidR="001E69F9">
        <w:rPr>
          <w:sz w:val="24"/>
          <w:szCs w:val="24"/>
        </w:rPr>
        <w:t xml:space="preserve">dem Urteil eines Mannes an, den er </w:t>
      </w:r>
      <w:r w:rsidR="00253515">
        <w:rPr>
          <w:sz w:val="24"/>
          <w:szCs w:val="24"/>
        </w:rPr>
        <w:t xml:space="preserve">in Tiflis getroffen hat und den er </w:t>
      </w:r>
      <w:r w:rsidR="001E69F9">
        <w:rPr>
          <w:sz w:val="24"/>
          <w:szCs w:val="24"/>
        </w:rPr>
        <w:t>„X.“ nennt:</w:t>
      </w:r>
    </w:p>
    <w:p w:rsidR="00F820B6" w:rsidRDefault="001E69F9" w:rsidP="00E41506">
      <w:pPr>
        <w:spacing w:after="0"/>
        <w:ind w:left="1134"/>
        <w:jc w:val="both"/>
        <w:rPr>
          <w:sz w:val="24"/>
          <w:szCs w:val="24"/>
        </w:rPr>
      </w:pPr>
      <w:r>
        <w:rPr>
          <w:sz w:val="24"/>
          <w:szCs w:val="24"/>
        </w:rPr>
        <w:t>„‚Sie lügen, sie lügen alle‘, sagte X. in Tiflis zu uns, über die Machthaber in der Sowjetunion. Nur Herbart und ich waren anwesend und konnten ihn hören. ‚Sie haben jeden Kontakt mit der wahren Wirklichkeit eingebüßt. Alle sind sie Theor</w:t>
      </w:r>
      <w:r>
        <w:rPr>
          <w:sz w:val="24"/>
          <w:szCs w:val="24"/>
        </w:rPr>
        <w:t>e</w:t>
      </w:r>
      <w:r>
        <w:rPr>
          <w:sz w:val="24"/>
          <w:szCs w:val="24"/>
        </w:rPr>
        <w:t>tiker, alle verlieren sie sich in Abstraktion</w:t>
      </w:r>
      <w:proofErr w:type="gramStart"/>
      <w:r>
        <w:rPr>
          <w:sz w:val="24"/>
          <w:szCs w:val="24"/>
        </w:rPr>
        <w:t>.‘</w:t>
      </w:r>
      <w:proofErr w:type="gramEnd"/>
      <w:r>
        <w:rPr>
          <w:sz w:val="24"/>
          <w:szCs w:val="24"/>
        </w:rPr>
        <w:t xml:space="preserve"> Seine Stimme zitterte vor Erregung. Und dann kam jener Satz, auf den ich zuerst nicht sonderlich geachtet hatte und den mir Herbart später ins Gedächtnis zurückrief, denn er fand ihn zu Recht b</w:t>
      </w:r>
      <w:r>
        <w:rPr>
          <w:sz w:val="24"/>
          <w:szCs w:val="24"/>
        </w:rPr>
        <w:t>e</w:t>
      </w:r>
      <w:r>
        <w:rPr>
          <w:sz w:val="24"/>
          <w:szCs w:val="24"/>
        </w:rPr>
        <w:t>wundernswert und zitierte ihn oft: ‚Sie haben den Sinn für die Suppe verloren</w:t>
      </w:r>
      <w:proofErr w:type="gramStart"/>
      <w:r>
        <w:rPr>
          <w:sz w:val="24"/>
          <w:szCs w:val="24"/>
        </w:rPr>
        <w:t>.‘</w:t>
      </w:r>
      <w:proofErr w:type="gramEnd"/>
      <w:r>
        <w:rPr>
          <w:sz w:val="24"/>
          <w:szCs w:val="24"/>
        </w:rPr>
        <w:t>“</w:t>
      </w:r>
      <w:r>
        <w:rPr>
          <w:rStyle w:val="Funotenzeichen"/>
          <w:sz w:val="24"/>
          <w:szCs w:val="24"/>
        </w:rPr>
        <w:footnoteReference w:id="53"/>
      </w:r>
      <w:r>
        <w:rPr>
          <w:sz w:val="24"/>
          <w:szCs w:val="24"/>
        </w:rPr>
        <w:t xml:space="preserve"> </w:t>
      </w:r>
    </w:p>
    <w:p w:rsidR="004F7076" w:rsidRDefault="004F7076" w:rsidP="00E41506">
      <w:pPr>
        <w:spacing w:after="0"/>
        <w:jc w:val="both"/>
        <w:rPr>
          <w:sz w:val="24"/>
          <w:szCs w:val="24"/>
        </w:rPr>
      </w:pPr>
      <w:r>
        <w:rPr>
          <w:sz w:val="24"/>
          <w:szCs w:val="24"/>
        </w:rPr>
        <w:t>Als die offizielle Begleiterin der Gruppe für einen Moment den Raum verlassen hat, zitiert „X.</w:t>
      </w:r>
      <w:r w:rsidR="00CE7F55">
        <w:rPr>
          <w:sz w:val="24"/>
          <w:szCs w:val="24"/>
        </w:rPr>
        <w:t xml:space="preserve">“ ein – vermutlich apokryphes – </w:t>
      </w:r>
      <w:proofErr w:type="spellStart"/>
      <w:r w:rsidR="00CE7F55">
        <w:rPr>
          <w:sz w:val="24"/>
          <w:szCs w:val="24"/>
        </w:rPr>
        <w:t>Jessenin</w:t>
      </w:r>
      <w:proofErr w:type="spellEnd"/>
      <w:r w:rsidR="00CE7F55">
        <w:rPr>
          <w:sz w:val="24"/>
          <w:szCs w:val="24"/>
        </w:rPr>
        <w:t xml:space="preserve">-Gedicht. </w:t>
      </w:r>
      <w:proofErr w:type="spellStart"/>
      <w:r w:rsidR="00CE7F55">
        <w:rPr>
          <w:sz w:val="24"/>
          <w:szCs w:val="24"/>
        </w:rPr>
        <w:t>Jessenins</w:t>
      </w:r>
      <w:proofErr w:type="spellEnd"/>
      <w:r w:rsidR="00CE7F55">
        <w:rPr>
          <w:sz w:val="24"/>
          <w:szCs w:val="24"/>
        </w:rPr>
        <w:t xml:space="preserve"> Gedichte waren zu dieser Zeit bereits verboten:</w:t>
      </w:r>
    </w:p>
    <w:p w:rsidR="00CE7F55" w:rsidRDefault="00CE7F55" w:rsidP="00E41506">
      <w:pPr>
        <w:spacing w:after="0"/>
        <w:ind w:left="1134"/>
        <w:jc w:val="both"/>
        <w:rPr>
          <w:sz w:val="24"/>
          <w:szCs w:val="24"/>
        </w:rPr>
      </w:pPr>
      <w:r w:rsidRPr="00B367A2">
        <w:rPr>
          <w:sz w:val="24"/>
          <w:szCs w:val="24"/>
        </w:rPr>
        <w:t>„Wenn du dich gegen die Popen wende</w:t>
      </w:r>
      <w:r>
        <w:rPr>
          <w:sz w:val="24"/>
          <w:szCs w:val="24"/>
        </w:rPr>
        <w:t xml:space="preserve">st, stimmen wir dir zu. Wir stehen dir bei, wenn du über Himmel und Hölle spottest, über die Jungfrau und den </w:t>
      </w:r>
      <w:proofErr w:type="spellStart"/>
      <w:r>
        <w:rPr>
          <w:sz w:val="24"/>
          <w:szCs w:val="24"/>
        </w:rPr>
        <w:t>Lieben</w:t>
      </w:r>
      <w:proofErr w:type="spellEnd"/>
      <w:r>
        <w:rPr>
          <w:sz w:val="24"/>
          <w:szCs w:val="24"/>
        </w:rPr>
        <w:t xml:space="preserve"> Gott. Aber wenn du von Jesus Christus sprichst, dann sieh dich vor. Hüte dich zu ve</w:t>
      </w:r>
      <w:r>
        <w:rPr>
          <w:sz w:val="24"/>
          <w:szCs w:val="24"/>
        </w:rPr>
        <w:t>r</w:t>
      </w:r>
      <w:r>
        <w:rPr>
          <w:sz w:val="24"/>
          <w:szCs w:val="24"/>
        </w:rPr>
        <w:t xml:space="preserve">gessen, </w:t>
      </w:r>
      <w:proofErr w:type="spellStart"/>
      <w:r>
        <w:rPr>
          <w:sz w:val="24"/>
          <w:szCs w:val="24"/>
        </w:rPr>
        <w:t>daß</w:t>
      </w:r>
      <w:proofErr w:type="spellEnd"/>
      <w:r>
        <w:rPr>
          <w:sz w:val="24"/>
          <w:szCs w:val="24"/>
        </w:rPr>
        <w:t xml:space="preserve"> Der, der sein Leben für die Menschen hingab, nicht den Großen dieser Erde zur Seite stand, sondern mit den Enterbten war und mit den Demütigen, und </w:t>
      </w:r>
      <w:proofErr w:type="spellStart"/>
      <w:r>
        <w:rPr>
          <w:sz w:val="24"/>
          <w:szCs w:val="24"/>
        </w:rPr>
        <w:t>daß</w:t>
      </w:r>
      <w:proofErr w:type="spellEnd"/>
      <w:r>
        <w:rPr>
          <w:sz w:val="24"/>
          <w:szCs w:val="24"/>
        </w:rPr>
        <w:t xml:space="preserve"> er, wenngleich Sohn Gottes gerufen, seinen höchsten Ruhm darin fand, sich ‚des Menschen Sohn‘ nennen zu lassen.“</w:t>
      </w:r>
      <w:r>
        <w:rPr>
          <w:rStyle w:val="Funotenzeichen"/>
          <w:sz w:val="24"/>
          <w:szCs w:val="24"/>
        </w:rPr>
        <w:footnoteReference w:id="54"/>
      </w:r>
    </w:p>
    <w:p w:rsidR="00CE7F55" w:rsidRDefault="00CE7F55" w:rsidP="00E41506">
      <w:pPr>
        <w:spacing w:after="0"/>
        <w:jc w:val="both"/>
        <w:rPr>
          <w:sz w:val="24"/>
          <w:szCs w:val="24"/>
        </w:rPr>
      </w:pPr>
      <w:r>
        <w:rPr>
          <w:sz w:val="24"/>
          <w:szCs w:val="24"/>
        </w:rPr>
        <w:t>Gide kommentiert den Eindruck, den das Gedicht und der Vortrag auf ihn machte, mit den Worten: „Er [X.] gewährte uns Einblick, schien es mir, in Regionen verborgener Zärtlichkeit, in einen ganzen unerforschten inneren Bereich, der mir bald der wesentlichste schien“.</w:t>
      </w:r>
      <w:r>
        <w:rPr>
          <w:rStyle w:val="Funotenzeichen"/>
          <w:sz w:val="24"/>
          <w:szCs w:val="24"/>
        </w:rPr>
        <w:footnoteReference w:id="55"/>
      </w:r>
      <w:r>
        <w:rPr>
          <w:sz w:val="24"/>
          <w:szCs w:val="24"/>
        </w:rPr>
        <w:t xml:space="preserve"> Dann kam die Begleiterin wieder zurück ins Zimmer, „und die Unterhaltung nahm ihren früheren Gang wieder auf, lärmend und voller Nichtigkeiten.“</w:t>
      </w:r>
      <w:r>
        <w:rPr>
          <w:rStyle w:val="Funotenzeichen"/>
          <w:sz w:val="24"/>
          <w:szCs w:val="24"/>
        </w:rPr>
        <w:footnoteReference w:id="56"/>
      </w:r>
    </w:p>
    <w:p w:rsidR="00814110" w:rsidRPr="007D4975" w:rsidRDefault="001E69F9" w:rsidP="00E41506">
      <w:pPr>
        <w:spacing w:after="0"/>
        <w:ind w:firstLine="708"/>
        <w:jc w:val="both"/>
        <w:rPr>
          <w:sz w:val="24"/>
          <w:szCs w:val="24"/>
        </w:rPr>
      </w:pPr>
      <w:r>
        <w:rPr>
          <w:sz w:val="24"/>
          <w:szCs w:val="24"/>
        </w:rPr>
        <w:t xml:space="preserve">Für Gide ist der Sozialismus nichts Abstraktes. </w:t>
      </w:r>
      <w:r w:rsidR="00814110">
        <w:rPr>
          <w:sz w:val="24"/>
          <w:szCs w:val="24"/>
        </w:rPr>
        <w:t>Das Urchristentum ist für ihn das Vo</w:t>
      </w:r>
      <w:r w:rsidR="00814110">
        <w:rPr>
          <w:sz w:val="24"/>
          <w:szCs w:val="24"/>
        </w:rPr>
        <w:t>r</w:t>
      </w:r>
      <w:r w:rsidR="00814110">
        <w:rPr>
          <w:sz w:val="24"/>
          <w:szCs w:val="24"/>
        </w:rPr>
        <w:t xml:space="preserve">bild. In der Sowjetunion herrscht für ihn </w:t>
      </w:r>
      <w:r w:rsidR="00CE7F55">
        <w:rPr>
          <w:sz w:val="24"/>
          <w:szCs w:val="24"/>
        </w:rPr>
        <w:t xml:space="preserve">jedoch </w:t>
      </w:r>
      <w:r w:rsidR="00814110">
        <w:rPr>
          <w:sz w:val="24"/>
          <w:szCs w:val="24"/>
        </w:rPr>
        <w:t>nicht mehr der Geist der Revolution</w:t>
      </w:r>
      <w:r w:rsidR="00CE7F55">
        <w:rPr>
          <w:sz w:val="24"/>
          <w:szCs w:val="24"/>
        </w:rPr>
        <w:t>, also der Kraft, die auch das Urchristentum entfaltete</w:t>
      </w:r>
      <w:r w:rsidR="00814110">
        <w:rPr>
          <w:sz w:val="24"/>
          <w:szCs w:val="24"/>
        </w:rPr>
        <w:t xml:space="preserve">; </w:t>
      </w:r>
      <w:r w:rsidR="00925704">
        <w:rPr>
          <w:sz w:val="24"/>
          <w:szCs w:val="24"/>
        </w:rPr>
        <w:t>d</w:t>
      </w:r>
      <w:r w:rsidR="00814110">
        <w:rPr>
          <w:sz w:val="24"/>
          <w:szCs w:val="24"/>
        </w:rPr>
        <w:t xml:space="preserve">er </w:t>
      </w:r>
      <w:r w:rsidR="00925704">
        <w:rPr>
          <w:sz w:val="24"/>
          <w:szCs w:val="24"/>
        </w:rPr>
        <w:t xml:space="preserve">Geist der Revolution </w:t>
      </w:r>
      <w:r w:rsidR="00814110">
        <w:rPr>
          <w:sz w:val="24"/>
          <w:szCs w:val="24"/>
        </w:rPr>
        <w:t>wird nicht mehr g</w:t>
      </w:r>
      <w:r w:rsidR="00814110">
        <w:rPr>
          <w:sz w:val="24"/>
          <w:szCs w:val="24"/>
        </w:rPr>
        <w:t>e</w:t>
      </w:r>
      <w:r w:rsidR="00814110">
        <w:rPr>
          <w:sz w:val="24"/>
          <w:szCs w:val="24"/>
        </w:rPr>
        <w:t>braucht. Stattdessen findet man allenthalben „Großtuerei“</w:t>
      </w:r>
      <w:r w:rsidR="00925704">
        <w:rPr>
          <w:sz w:val="24"/>
          <w:szCs w:val="24"/>
        </w:rPr>
        <w:t>.</w:t>
      </w:r>
      <w:r w:rsidR="00814110">
        <w:rPr>
          <w:rStyle w:val="Funotenzeichen"/>
          <w:sz w:val="24"/>
          <w:szCs w:val="24"/>
        </w:rPr>
        <w:footnoteReference w:id="57"/>
      </w:r>
      <w:r w:rsidR="00814110">
        <w:rPr>
          <w:sz w:val="24"/>
          <w:szCs w:val="24"/>
        </w:rPr>
        <w:t xml:space="preserve"> Arbeiter leben in schmutzsta</w:t>
      </w:r>
      <w:r w:rsidR="00814110">
        <w:rPr>
          <w:sz w:val="24"/>
          <w:szCs w:val="24"/>
        </w:rPr>
        <w:t>r</w:t>
      </w:r>
      <w:r w:rsidR="00814110">
        <w:rPr>
          <w:sz w:val="24"/>
          <w:szCs w:val="24"/>
        </w:rPr>
        <w:t>renden Unterkünften und elende Hütten</w:t>
      </w:r>
      <w:r w:rsidR="00925704">
        <w:rPr>
          <w:sz w:val="24"/>
          <w:szCs w:val="24"/>
        </w:rPr>
        <w:t>;</w:t>
      </w:r>
      <w:r w:rsidR="00814110">
        <w:rPr>
          <w:rStyle w:val="Funotenzeichen"/>
          <w:sz w:val="24"/>
          <w:szCs w:val="24"/>
        </w:rPr>
        <w:footnoteReference w:id="58"/>
      </w:r>
      <w:r w:rsidR="00814110">
        <w:rPr>
          <w:sz w:val="24"/>
          <w:szCs w:val="24"/>
        </w:rPr>
        <w:t xml:space="preserve"> es herrscht eine „kleinbürgerliche Geistesverfa</w:t>
      </w:r>
      <w:r w:rsidR="00814110">
        <w:rPr>
          <w:sz w:val="24"/>
          <w:szCs w:val="24"/>
        </w:rPr>
        <w:t>s</w:t>
      </w:r>
      <w:r w:rsidR="00814110">
        <w:rPr>
          <w:sz w:val="24"/>
          <w:szCs w:val="24"/>
        </w:rPr>
        <w:t>sung“, gefördert von der Regierung.</w:t>
      </w:r>
      <w:r w:rsidR="00814110">
        <w:rPr>
          <w:rStyle w:val="Funotenzeichen"/>
          <w:sz w:val="24"/>
          <w:szCs w:val="24"/>
        </w:rPr>
        <w:footnoteReference w:id="59"/>
      </w:r>
      <w:r w:rsidR="00814110">
        <w:rPr>
          <w:sz w:val="24"/>
          <w:szCs w:val="24"/>
        </w:rPr>
        <w:t xml:space="preserve"> – Für die Sowjetunion waren das Buch und die Reakt</w:t>
      </w:r>
      <w:r w:rsidR="00814110">
        <w:rPr>
          <w:sz w:val="24"/>
          <w:szCs w:val="24"/>
        </w:rPr>
        <w:t>i</w:t>
      </w:r>
      <w:r w:rsidR="00814110">
        <w:rPr>
          <w:sz w:val="24"/>
          <w:szCs w:val="24"/>
        </w:rPr>
        <w:t>on, die es hervorrief, ein Desaster.</w:t>
      </w:r>
    </w:p>
    <w:p w:rsidR="00F820B6" w:rsidRDefault="00F820B6" w:rsidP="00E41506">
      <w:pPr>
        <w:spacing w:after="0"/>
        <w:jc w:val="both"/>
        <w:rPr>
          <w:sz w:val="24"/>
          <w:szCs w:val="24"/>
        </w:rPr>
      </w:pPr>
    </w:p>
    <w:p w:rsidR="00F820B6" w:rsidRPr="00947DE3" w:rsidRDefault="00947DE3" w:rsidP="00E41506">
      <w:pPr>
        <w:spacing w:after="0"/>
        <w:jc w:val="both"/>
        <w:rPr>
          <w:b/>
          <w:sz w:val="24"/>
          <w:szCs w:val="24"/>
        </w:rPr>
      </w:pPr>
      <w:r>
        <w:rPr>
          <w:b/>
          <w:sz w:val="24"/>
          <w:szCs w:val="24"/>
        </w:rPr>
        <w:t>*</w:t>
      </w:r>
    </w:p>
    <w:p w:rsidR="00F820B6" w:rsidRDefault="00F820B6" w:rsidP="00E41506">
      <w:pPr>
        <w:spacing w:after="0"/>
        <w:jc w:val="both"/>
        <w:rPr>
          <w:sz w:val="24"/>
          <w:szCs w:val="24"/>
        </w:rPr>
      </w:pPr>
    </w:p>
    <w:p w:rsidR="00CA3495" w:rsidRDefault="00C54CFF" w:rsidP="00E41506">
      <w:pPr>
        <w:spacing w:after="0"/>
        <w:ind w:firstLine="708"/>
        <w:jc w:val="both"/>
        <w:rPr>
          <w:sz w:val="24"/>
          <w:szCs w:val="24"/>
        </w:rPr>
      </w:pPr>
      <w:r>
        <w:rPr>
          <w:sz w:val="24"/>
          <w:szCs w:val="24"/>
        </w:rPr>
        <w:lastRenderedPageBreak/>
        <w:t>Knapp</w:t>
      </w:r>
      <w:r w:rsidR="00925704">
        <w:rPr>
          <w:sz w:val="24"/>
          <w:szCs w:val="24"/>
        </w:rPr>
        <w:t xml:space="preserve"> ein Jahr später folgt mit </w:t>
      </w:r>
      <w:r w:rsidR="001A069A">
        <w:rPr>
          <w:sz w:val="24"/>
          <w:szCs w:val="24"/>
        </w:rPr>
        <w:t xml:space="preserve">Lion </w:t>
      </w:r>
      <w:r w:rsidR="00925704">
        <w:rPr>
          <w:sz w:val="24"/>
          <w:szCs w:val="24"/>
        </w:rPr>
        <w:t xml:space="preserve">Feuchtwangers </w:t>
      </w:r>
      <w:r w:rsidR="001A069A">
        <w:rPr>
          <w:i/>
          <w:sz w:val="24"/>
          <w:szCs w:val="24"/>
        </w:rPr>
        <w:t xml:space="preserve">Moskau 1937. Ein Reisebericht für meine Freunde </w:t>
      </w:r>
      <w:r w:rsidR="00925704">
        <w:rPr>
          <w:sz w:val="24"/>
          <w:szCs w:val="24"/>
        </w:rPr>
        <w:t xml:space="preserve">die </w:t>
      </w:r>
      <w:r>
        <w:rPr>
          <w:sz w:val="24"/>
          <w:szCs w:val="24"/>
        </w:rPr>
        <w:t>Antwort</w:t>
      </w:r>
      <w:r w:rsidR="001A069A">
        <w:rPr>
          <w:sz w:val="24"/>
          <w:szCs w:val="24"/>
        </w:rPr>
        <w:t xml:space="preserve"> auf </w:t>
      </w:r>
      <w:r w:rsidR="001A069A">
        <w:rPr>
          <w:i/>
          <w:sz w:val="24"/>
          <w:szCs w:val="24"/>
        </w:rPr>
        <w:t xml:space="preserve">Retour de </w:t>
      </w:r>
      <w:proofErr w:type="spellStart"/>
      <w:r w:rsidR="001A069A">
        <w:rPr>
          <w:i/>
          <w:sz w:val="24"/>
          <w:szCs w:val="24"/>
        </w:rPr>
        <w:t>l‘UdSSR</w:t>
      </w:r>
      <w:proofErr w:type="spellEnd"/>
      <w:r w:rsidR="00925704">
        <w:rPr>
          <w:sz w:val="24"/>
          <w:szCs w:val="24"/>
        </w:rPr>
        <w:t>.</w:t>
      </w:r>
      <w:r w:rsidR="001A069A">
        <w:rPr>
          <w:sz w:val="24"/>
          <w:szCs w:val="24"/>
        </w:rPr>
        <w:t xml:space="preserve"> </w:t>
      </w:r>
      <w:r w:rsidR="006A19C9">
        <w:rPr>
          <w:sz w:val="24"/>
          <w:szCs w:val="24"/>
        </w:rPr>
        <w:t>Ist</w:t>
      </w:r>
      <w:r w:rsidR="00925704">
        <w:rPr>
          <w:sz w:val="24"/>
          <w:szCs w:val="24"/>
        </w:rPr>
        <w:t xml:space="preserve"> Gides </w:t>
      </w:r>
      <w:r w:rsidR="00C92DD7">
        <w:rPr>
          <w:sz w:val="24"/>
          <w:szCs w:val="24"/>
        </w:rPr>
        <w:t>Schrif</w:t>
      </w:r>
      <w:r w:rsidR="00925704">
        <w:rPr>
          <w:sz w:val="24"/>
          <w:szCs w:val="24"/>
        </w:rPr>
        <w:t xml:space="preserve">t ein als </w:t>
      </w:r>
      <w:r w:rsidR="00925704" w:rsidRPr="00925704">
        <w:rPr>
          <w:i/>
          <w:sz w:val="24"/>
          <w:szCs w:val="24"/>
        </w:rPr>
        <w:t xml:space="preserve">künstlerischer </w:t>
      </w:r>
      <w:r w:rsidR="00925704">
        <w:rPr>
          <w:sz w:val="24"/>
          <w:szCs w:val="24"/>
        </w:rPr>
        <w:t>Text konzipiertes Werk</w:t>
      </w:r>
      <w:r w:rsidR="00F57323">
        <w:rPr>
          <w:sz w:val="24"/>
          <w:szCs w:val="24"/>
        </w:rPr>
        <w:t>:</w:t>
      </w:r>
      <w:r w:rsidR="00925704">
        <w:rPr>
          <w:sz w:val="24"/>
          <w:szCs w:val="24"/>
        </w:rPr>
        <w:t xml:space="preserve"> das Produkt eines Schriftstellers, der sich als Individualist</w:t>
      </w:r>
      <w:r w:rsidR="00C6047C">
        <w:rPr>
          <w:rStyle w:val="Funotenzeichen"/>
          <w:sz w:val="24"/>
          <w:szCs w:val="24"/>
        </w:rPr>
        <w:footnoteReference w:id="60"/>
      </w:r>
      <w:r w:rsidR="00925704">
        <w:rPr>
          <w:sz w:val="24"/>
          <w:szCs w:val="24"/>
        </w:rPr>
        <w:t xml:space="preserve"> </w:t>
      </w:r>
      <w:r w:rsidR="00C92DD7">
        <w:rPr>
          <w:sz w:val="24"/>
          <w:szCs w:val="24"/>
        </w:rPr>
        <w:t xml:space="preserve">und </w:t>
      </w:r>
      <w:r w:rsidR="00126C33">
        <w:rPr>
          <w:sz w:val="24"/>
          <w:szCs w:val="24"/>
        </w:rPr>
        <w:t>Nonkonformist</w:t>
      </w:r>
      <w:r w:rsidR="00C92DD7">
        <w:rPr>
          <w:sz w:val="24"/>
          <w:szCs w:val="24"/>
        </w:rPr>
        <w:t xml:space="preserve"> versteht</w:t>
      </w:r>
      <w:r w:rsidR="00C6047C">
        <w:rPr>
          <w:sz w:val="24"/>
          <w:szCs w:val="24"/>
        </w:rPr>
        <w:t>,</w:t>
      </w:r>
      <w:r w:rsidR="00126C33">
        <w:rPr>
          <w:sz w:val="24"/>
          <w:szCs w:val="24"/>
        </w:rPr>
        <w:t xml:space="preserve"> </w:t>
      </w:r>
      <w:r w:rsidR="00C92DD7">
        <w:rPr>
          <w:sz w:val="24"/>
          <w:szCs w:val="24"/>
        </w:rPr>
        <w:t>also auf keinen Fall</w:t>
      </w:r>
      <w:r w:rsidR="005C3B4F">
        <w:rPr>
          <w:sz w:val="24"/>
          <w:szCs w:val="24"/>
        </w:rPr>
        <w:t xml:space="preserve"> bereit </w:t>
      </w:r>
      <w:r w:rsidR="00CA3495">
        <w:rPr>
          <w:sz w:val="24"/>
          <w:szCs w:val="24"/>
        </w:rPr>
        <w:t>ist</w:t>
      </w:r>
      <w:r w:rsidR="005C3B4F">
        <w:rPr>
          <w:sz w:val="24"/>
          <w:szCs w:val="24"/>
        </w:rPr>
        <w:t xml:space="preserve">, </w:t>
      </w:r>
      <w:r w:rsidR="00F57323">
        <w:rPr>
          <w:sz w:val="24"/>
          <w:szCs w:val="24"/>
        </w:rPr>
        <w:t xml:space="preserve">sich </w:t>
      </w:r>
      <w:r w:rsidR="00C92DD7">
        <w:rPr>
          <w:sz w:val="24"/>
          <w:szCs w:val="24"/>
        </w:rPr>
        <w:t xml:space="preserve">außerliterarischen </w:t>
      </w:r>
      <w:r w:rsidR="005C3B4F">
        <w:rPr>
          <w:sz w:val="24"/>
          <w:szCs w:val="24"/>
        </w:rPr>
        <w:t>Forderung</w:t>
      </w:r>
      <w:r w:rsidR="00925704">
        <w:rPr>
          <w:sz w:val="24"/>
          <w:szCs w:val="24"/>
        </w:rPr>
        <w:t>en</w:t>
      </w:r>
      <w:r w:rsidR="00CA3495">
        <w:rPr>
          <w:sz w:val="24"/>
          <w:szCs w:val="24"/>
        </w:rPr>
        <w:t xml:space="preserve"> </w:t>
      </w:r>
      <w:r w:rsidR="005C3B4F">
        <w:rPr>
          <w:sz w:val="24"/>
          <w:szCs w:val="24"/>
        </w:rPr>
        <w:t>nach</w:t>
      </w:r>
      <w:r w:rsidR="00925704">
        <w:rPr>
          <w:sz w:val="24"/>
          <w:szCs w:val="24"/>
        </w:rPr>
        <w:t xml:space="preserve"> </w:t>
      </w:r>
      <w:r w:rsidR="00C92DD7">
        <w:rPr>
          <w:sz w:val="24"/>
          <w:szCs w:val="24"/>
        </w:rPr>
        <w:t xml:space="preserve">politischer </w:t>
      </w:r>
      <w:r w:rsidR="001A069A">
        <w:rPr>
          <w:sz w:val="24"/>
          <w:szCs w:val="24"/>
        </w:rPr>
        <w:t>Ausgewogenheit</w:t>
      </w:r>
      <w:r w:rsidR="00C92DD7">
        <w:rPr>
          <w:sz w:val="24"/>
          <w:szCs w:val="24"/>
        </w:rPr>
        <w:t xml:space="preserve"> bzw. politischer Rücksichtnahme</w:t>
      </w:r>
      <w:r w:rsidR="00925704">
        <w:rPr>
          <w:sz w:val="24"/>
          <w:szCs w:val="24"/>
        </w:rPr>
        <w:t xml:space="preserve"> </w:t>
      </w:r>
      <w:r w:rsidR="005C3B4F">
        <w:rPr>
          <w:sz w:val="24"/>
          <w:szCs w:val="24"/>
        </w:rPr>
        <w:t xml:space="preserve">zu </w:t>
      </w:r>
      <w:r w:rsidR="00925704">
        <w:rPr>
          <w:sz w:val="24"/>
          <w:szCs w:val="24"/>
        </w:rPr>
        <w:t>unt</w:t>
      </w:r>
      <w:r w:rsidR="001A069A">
        <w:rPr>
          <w:sz w:val="24"/>
          <w:szCs w:val="24"/>
        </w:rPr>
        <w:t>e</w:t>
      </w:r>
      <w:r w:rsidR="00925704">
        <w:rPr>
          <w:sz w:val="24"/>
          <w:szCs w:val="24"/>
        </w:rPr>
        <w:t>rw</w:t>
      </w:r>
      <w:r w:rsidR="005C3B4F">
        <w:rPr>
          <w:sz w:val="24"/>
          <w:szCs w:val="24"/>
        </w:rPr>
        <w:t>e</w:t>
      </w:r>
      <w:r w:rsidR="00925704">
        <w:rPr>
          <w:sz w:val="24"/>
          <w:szCs w:val="24"/>
        </w:rPr>
        <w:t>rf</w:t>
      </w:r>
      <w:r w:rsidR="005C3B4F">
        <w:rPr>
          <w:sz w:val="24"/>
          <w:szCs w:val="24"/>
        </w:rPr>
        <w:t>en</w:t>
      </w:r>
      <w:r w:rsidR="001A069A">
        <w:rPr>
          <w:sz w:val="24"/>
          <w:szCs w:val="24"/>
        </w:rPr>
        <w:t xml:space="preserve">, so </w:t>
      </w:r>
      <w:r w:rsidR="00CA3495">
        <w:rPr>
          <w:sz w:val="24"/>
          <w:szCs w:val="24"/>
        </w:rPr>
        <w:t>ist</w:t>
      </w:r>
      <w:r w:rsidR="001A069A">
        <w:rPr>
          <w:sz w:val="24"/>
          <w:szCs w:val="24"/>
        </w:rPr>
        <w:t xml:space="preserve"> </w:t>
      </w:r>
      <w:r w:rsidR="00C92DD7">
        <w:rPr>
          <w:sz w:val="24"/>
          <w:szCs w:val="24"/>
        </w:rPr>
        <w:t>– daran gemessen – F</w:t>
      </w:r>
      <w:r w:rsidR="001A069A">
        <w:rPr>
          <w:sz w:val="24"/>
          <w:szCs w:val="24"/>
        </w:rPr>
        <w:t xml:space="preserve">euchtwangers </w:t>
      </w:r>
      <w:r w:rsidR="001A069A">
        <w:rPr>
          <w:i/>
          <w:sz w:val="24"/>
          <w:szCs w:val="24"/>
        </w:rPr>
        <w:t xml:space="preserve">Moskau 1937 </w:t>
      </w:r>
      <w:r w:rsidR="001A069A">
        <w:rPr>
          <w:sz w:val="24"/>
          <w:szCs w:val="24"/>
        </w:rPr>
        <w:t xml:space="preserve">ein </w:t>
      </w:r>
      <w:r w:rsidR="001A069A">
        <w:rPr>
          <w:i/>
          <w:sz w:val="24"/>
          <w:szCs w:val="24"/>
        </w:rPr>
        <w:t>nicht</w:t>
      </w:r>
      <w:r w:rsidR="001A069A" w:rsidRPr="00126C33">
        <w:rPr>
          <w:i/>
          <w:sz w:val="24"/>
          <w:szCs w:val="24"/>
        </w:rPr>
        <w:t xml:space="preserve">literarischer </w:t>
      </w:r>
      <w:r w:rsidR="001A069A">
        <w:rPr>
          <w:sz w:val="24"/>
          <w:szCs w:val="24"/>
        </w:rPr>
        <w:t xml:space="preserve">Text: eine </w:t>
      </w:r>
      <w:r w:rsidR="00126C33">
        <w:rPr>
          <w:sz w:val="24"/>
          <w:szCs w:val="24"/>
        </w:rPr>
        <w:t xml:space="preserve">politische </w:t>
      </w:r>
      <w:r w:rsidR="001A069A">
        <w:rPr>
          <w:sz w:val="24"/>
          <w:szCs w:val="24"/>
        </w:rPr>
        <w:t>Propagandaschrift.</w:t>
      </w:r>
      <w:r w:rsidR="005C3B4F">
        <w:rPr>
          <w:sz w:val="24"/>
          <w:szCs w:val="24"/>
        </w:rPr>
        <w:t xml:space="preserve"> D</w:t>
      </w:r>
      <w:r w:rsidR="000112E5">
        <w:rPr>
          <w:sz w:val="24"/>
          <w:szCs w:val="24"/>
        </w:rPr>
        <w:t>arauf deutet</w:t>
      </w:r>
      <w:r w:rsidR="005C3B4F">
        <w:rPr>
          <w:sz w:val="24"/>
          <w:szCs w:val="24"/>
        </w:rPr>
        <w:t xml:space="preserve"> der Untertitel</w:t>
      </w:r>
      <w:r w:rsidR="000112E5">
        <w:rPr>
          <w:sz w:val="24"/>
          <w:szCs w:val="24"/>
        </w:rPr>
        <w:t xml:space="preserve"> hin</w:t>
      </w:r>
      <w:r w:rsidR="005C3B4F">
        <w:rPr>
          <w:sz w:val="24"/>
          <w:szCs w:val="24"/>
        </w:rPr>
        <w:t xml:space="preserve">: </w:t>
      </w:r>
      <w:r w:rsidR="00960611">
        <w:rPr>
          <w:i/>
          <w:sz w:val="24"/>
          <w:szCs w:val="24"/>
        </w:rPr>
        <w:t>Ein Reisebericht für meine Freunde.</w:t>
      </w:r>
      <w:r w:rsidR="00960611" w:rsidRPr="003B1A0B">
        <w:rPr>
          <w:rStyle w:val="Funotenzeichen"/>
          <w:sz w:val="24"/>
          <w:szCs w:val="24"/>
        </w:rPr>
        <w:footnoteReference w:id="61"/>
      </w:r>
      <w:r w:rsidR="00960611" w:rsidRPr="003B1A0B">
        <w:rPr>
          <w:sz w:val="24"/>
          <w:szCs w:val="24"/>
        </w:rPr>
        <w:t xml:space="preserve"> </w:t>
      </w:r>
      <w:r w:rsidR="00960611">
        <w:rPr>
          <w:sz w:val="24"/>
          <w:szCs w:val="24"/>
        </w:rPr>
        <w:t xml:space="preserve">Der Begriff </w:t>
      </w:r>
      <w:r w:rsidR="00CA3495">
        <w:rPr>
          <w:sz w:val="24"/>
          <w:szCs w:val="24"/>
        </w:rPr>
        <w:t>ist</w:t>
      </w:r>
      <w:r w:rsidR="00960611">
        <w:rPr>
          <w:sz w:val="24"/>
          <w:szCs w:val="24"/>
        </w:rPr>
        <w:t xml:space="preserve"> </w:t>
      </w:r>
      <w:r w:rsidR="00C92DD7">
        <w:rPr>
          <w:sz w:val="24"/>
          <w:szCs w:val="24"/>
        </w:rPr>
        <w:t>absichtsvoll</w:t>
      </w:r>
      <w:r w:rsidR="00960611">
        <w:rPr>
          <w:sz w:val="24"/>
          <w:szCs w:val="24"/>
        </w:rPr>
        <w:t xml:space="preserve"> doppelsinnig</w:t>
      </w:r>
      <w:r w:rsidR="00CA3495">
        <w:rPr>
          <w:sz w:val="24"/>
          <w:szCs w:val="24"/>
        </w:rPr>
        <w:t xml:space="preserve"> konzipiert</w:t>
      </w:r>
      <w:r w:rsidR="00960611">
        <w:rPr>
          <w:sz w:val="24"/>
          <w:szCs w:val="24"/>
        </w:rPr>
        <w:t xml:space="preserve">: </w:t>
      </w:r>
      <w:r w:rsidR="00C92DD7">
        <w:rPr>
          <w:sz w:val="24"/>
          <w:szCs w:val="24"/>
        </w:rPr>
        <w:t>Es sind damit s</w:t>
      </w:r>
      <w:r w:rsidR="00960611">
        <w:rPr>
          <w:sz w:val="24"/>
          <w:szCs w:val="24"/>
        </w:rPr>
        <w:t xml:space="preserve">owohl </w:t>
      </w:r>
      <w:r w:rsidR="00CA3495">
        <w:rPr>
          <w:sz w:val="24"/>
          <w:szCs w:val="24"/>
        </w:rPr>
        <w:t>Feuchtwangers</w:t>
      </w:r>
      <w:r w:rsidR="00960611">
        <w:rPr>
          <w:sz w:val="24"/>
          <w:szCs w:val="24"/>
        </w:rPr>
        <w:t xml:space="preserve"> </w:t>
      </w:r>
      <w:r w:rsidR="00960611" w:rsidRPr="000112E5">
        <w:rPr>
          <w:i/>
          <w:sz w:val="24"/>
          <w:szCs w:val="24"/>
        </w:rPr>
        <w:t>Leser</w:t>
      </w:r>
      <w:r w:rsidR="00960611">
        <w:rPr>
          <w:sz w:val="24"/>
          <w:szCs w:val="24"/>
        </w:rPr>
        <w:t xml:space="preserve">, also die </w:t>
      </w:r>
      <w:r w:rsidR="00960611" w:rsidRPr="006F1FE3">
        <w:rPr>
          <w:i/>
          <w:sz w:val="24"/>
          <w:szCs w:val="24"/>
        </w:rPr>
        <w:t>literarischen</w:t>
      </w:r>
      <w:r w:rsidR="00960611">
        <w:rPr>
          <w:sz w:val="24"/>
          <w:szCs w:val="24"/>
        </w:rPr>
        <w:t xml:space="preserve"> Liebhaber des Autors, angesprochen als auch </w:t>
      </w:r>
      <w:r w:rsidR="006F1FE3">
        <w:rPr>
          <w:sz w:val="24"/>
          <w:szCs w:val="24"/>
        </w:rPr>
        <w:t>Feuchtwangers</w:t>
      </w:r>
      <w:r w:rsidR="00960611">
        <w:rPr>
          <w:sz w:val="24"/>
          <w:szCs w:val="24"/>
        </w:rPr>
        <w:t xml:space="preserve"> </w:t>
      </w:r>
      <w:r w:rsidR="00960611" w:rsidRPr="000112E5">
        <w:rPr>
          <w:i/>
          <w:sz w:val="24"/>
          <w:szCs w:val="24"/>
        </w:rPr>
        <w:t>politische</w:t>
      </w:r>
      <w:r w:rsidR="00960611">
        <w:rPr>
          <w:sz w:val="24"/>
          <w:szCs w:val="24"/>
        </w:rPr>
        <w:t xml:space="preserve"> </w:t>
      </w:r>
      <w:r w:rsidR="00C92DD7">
        <w:rPr>
          <w:sz w:val="24"/>
          <w:szCs w:val="24"/>
        </w:rPr>
        <w:t>„</w:t>
      </w:r>
      <w:r w:rsidR="00960611">
        <w:rPr>
          <w:sz w:val="24"/>
          <w:szCs w:val="24"/>
        </w:rPr>
        <w:t>Freunde“</w:t>
      </w:r>
      <w:r w:rsidR="00C92DD7">
        <w:rPr>
          <w:sz w:val="24"/>
          <w:szCs w:val="24"/>
        </w:rPr>
        <w:t xml:space="preserve">, also ein Kreis von Personen, </w:t>
      </w:r>
      <w:r w:rsidR="00960611">
        <w:rPr>
          <w:sz w:val="24"/>
          <w:szCs w:val="24"/>
        </w:rPr>
        <w:t xml:space="preserve">die wie Feuchtwanger mit der Sowjetunion </w:t>
      </w:r>
      <w:r w:rsidR="00C92DD7">
        <w:rPr>
          <w:sz w:val="24"/>
          <w:szCs w:val="24"/>
        </w:rPr>
        <w:t>bzw.</w:t>
      </w:r>
      <w:r w:rsidR="00960611">
        <w:rPr>
          <w:sz w:val="24"/>
          <w:szCs w:val="24"/>
        </w:rPr>
        <w:t xml:space="preserve"> mit Stalin </w:t>
      </w:r>
      <w:r w:rsidR="00C92DD7">
        <w:rPr>
          <w:sz w:val="24"/>
          <w:szCs w:val="24"/>
        </w:rPr>
        <w:t xml:space="preserve">und seiner Politik </w:t>
      </w:r>
      <w:r w:rsidR="00960611">
        <w:rPr>
          <w:sz w:val="24"/>
          <w:szCs w:val="24"/>
        </w:rPr>
        <w:t>sympathisieren.</w:t>
      </w:r>
      <w:r w:rsidR="00C92DD7">
        <w:rPr>
          <w:rStyle w:val="Funotenzeichen"/>
          <w:sz w:val="24"/>
          <w:szCs w:val="24"/>
        </w:rPr>
        <w:footnoteReference w:id="62"/>
      </w:r>
    </w:p>
    <w:p w:rsidR="00D11101" w:rsidRDefault="006A19C9" w:rsidP="00E41506">
      <w:pPr>
        <w:spacing w:after="0"/>
        <w:ind w:firstLine="708"/>
        <w:jc w:val="both"/>
        <w:rPr>
          <w:sz w:val="24"/>
          <w:szCs w:val="24"/>
        </w:rPr>
      </w:pPr>
      <w:r>
        <w:rPr>
          <w:i/>
          <w:sz w:val="24"/>
          <w:szCs w:val="24"/>
        </w:rPr>
        <w:t>Moskau 1937</w:t>
      </w:r>
      <w:r>
        <w:rPr>
          <w:sz w:val="24"/>
          <w:szCs w:val="24"/>
        </w:rPr>
        <w:t xml:space="preserve"> ist ein Text, der sich an „Gläubige“ richtet</w:t>
      </w:r>
      <w:r w:rsidR="00126C33">
        <w:rPr>
          <w:sz w:val="24"/>
          <w:szCs w:val="24"/>
        </w:rPr>
        <w:t>.</w:t>
      </w:r>
      <w:r>
        <w:rPr>
          <w:sz w:val="24"/>
          <w:szCs w:val="24"/>
        </w:rPr>
        <w:t xml:space="preserve"> </w:t>
      </w:r>
      <w:r w:rsidR="00126C33">
        <w:rPr>
          <w:sz w:val="24"/>
          <w:szCs w:val="24"/>
        </w:rPr>
        <w:t xml:space="preserve">Feuchtwanger präsentiert </w:t>
      </w:r>
      <w:r>
        <w:rPr>
          <w:sz w:val="24"/>
          <w:szCs w:val="24"/>
        </w:rPr>
        <w:t xml:space="preserve">die Erfahrungen </w:t>
      </w:r>
      <w:r w:rsidR="00126C33">
        <w:rPr>
          <w:sz w:val="24"/>
          <w:szCs w:val="24"/>
        </w:rPr>
        <w:t>s</w:t>
      </w:r>
      <w:r>
        <w:rPr>
          <w:sz w:val="24"/>
          <w:szCs w:val="24"/>
        </w:rPr>
        <w:t xml:space="preserve">eines Besuchs </w:t>
      </w:r>
      <w:r w:rsidR="00126C33">
        <w:rPr>
          <w:sz w:val="24"/>
          <w:szCs w:val="24"/>
        </w:rPr>
        <w:t xml:space="preserve">sprachlich </w:t>
      </w:r>
      <w:r w:rsidR="000112E5">
        <w:rPr>
          <w:sz w:val="24"/>
          <w:szCs w:val="24"/>
        </w:rPr>
        <w:t>wie</w:t>
      </w:r>
      <w:r w:rsidR="00126C33">
        <w:rPr>
          <w:sz w:val="24"/>
          <w:szCs w:val="24"/>
        </w:rPr>
        <w:t xml:space="preserve"> thematisch auf eine Weise</w:t>
      </w:r>
      <w:r>
        <w:rPr>
          <w:sz w:val="24"/>
          <w:szCs w:val="24"/>
        </w:rPr>
        <w:t xml:space="preserve">, dass </w:t>
      </w:r>
      <w:r w:rsidR="000112E5">
        <w:rPr>
          <w:sz w:val="24"/>
          <w:szCs w:val="24"/>
        </w:rPr>
        <w:t>sie</w:t>
      </w:r>
      <w:r>
        <w:rPr>
          <w:sz w:val="24"/>
          <w:szCs w:val="24"/>
        </w:rPr>
        <w:t xml:space="preserve"> </w:t>
      </w:r>
      <w:r w:rsidR="00126C33">
        <w:rPr>
          <w:sz w:val="24"/>
          <w:szCs w:val="24"/>
        </w:rPr>
        <w:t>in ihrer Ha</w:t>
      </w:r>
      <w:r w:rsidR="00126C33">
        <w:rPr>
          <w:sz w:val="24"/>
          <w:szCs w:val="24"/>
        </w:rPr>
        <w:t>l</w:t>
      </w:r>
      <w:r w:rsidR="00126C33">
        <w:rPr>
          <w:sz w:val="24"/>
          <w:szCs w:val="24"/>
        </w:rPr>
        <w:t xml:space="preserve">tung </w:t>
      </w:r>
      <w:r>
        <w:rPr>
          <w:sz w:val="24"/>
          <w:szCs w:val="24"/>
        </w:rPr>
        <w:t>bestärkt und gegen Kritik immunisiert werden. Anne Hartmann</w:t>
      </w:r>
      <w:r w:rsidR="00C54CFF">
        <w:rPr>
          <w:sz w:val="24"/>
          <w:szCs w:val="24"/>
        </w:rPr>
        <w:t>, die in mehreren Beitr</w:t>
      </w:r>
      <w:r w:rsidR="00C54CFF">
        <w:rPr>
          <w:sz w:val="24"/>
          <w:szCs w:val="24"/>
        </w:rPr>
        <w:t>ä</w:t>
      </w:r>
      <w:r w:rsidR="00C54CFF">
        <w:rPr>
          <w:sz w:val="24"/>
          <w:szCs w:val="24"/>
        </w:rPr>
        <w:t>gen den Text, seine Entstehungsgeschichte und ihr Umfeld untersucht hat,</w:t>
      </w:r>
      <w:r w:rsidR="00C54CFF">
        <w:rPr>
          <w:rStyle w:val="Funotenzeichen"/>
          <w:sz w:val="24"/>
          <w:szCs w:val="24"/>
        </w:rPr>
        <w:footnoteReference w:id="63"/>
      </w:r>
      <w:r>
        <w:rPr>
          <w:sz w:val="24"/>
          <w:szCs w:val="24"/>
        </w:rPr>
        <w:t xml:space="preserve"> spricht </w:t>
      </w:r>
      <w:r w:rsidR="001940AB">
        <w:rPr>
          <w:sz w:val="24"/>
          <w:szCs w:val="24"/>
        </w:rPr>
        <w:t xml:space="preserve">mit Recht </w:t>
      </w:r>
      <w:r w:rsidR="00D11101">
        <w:rPr>
          <w:sz w:val="24"/>
          <w:szCs w:val="24"/>
        </w:rPr>
        <w:t xml:space="preserve">in dieser Hinsicht </w:t>
      </w:r>
      <w:r>
        <w:rPr>
          <w:sz w:val="24"/>
          <w:szCs w:val="24"/>
        </w:rPr>
        <w:t>von</w:t>
      </w:r>
      <w:r w:rsidR="000112E5">
        <w:rPr>
          <w:sz w:val="24"/>
          <w:szCs w:val="24"/>
        </w:rPr>
        <w:t xml:space="preserve"> d</w:t>
      </w:r>
      <w:r>
        <w:rPr>
          <w:sz w:val="24"/>
          <w:szCs w:val="24"/>
        </w:rPr>
        <w:t>er „bewusst gewählten Schreibstrategie“</w:t>
      </w:r>
      <w:r w:rsidR="000112E5">
        <w:rPr>
          <w:sz w:val="24"/>
          <w:szCs w:val="24"/>
        </w:rPr>
        <w:t xml:space="preserve"> Feuchtwangers</w:t>
      </w:r>
      <w:r>
        <w:rPr>
          <w:sz w:val="24"/>
          <w:szCs w:val="24"/>
        </w:rPr>
        <w:t>, die darauf abziel</w:t>
      </w:r>
      <w:r w:rsidR="000112E5">
        <w:rPr>
          <w:sz w:val="24"/>
          <w:szCs w:val="24"/>
        </w:rPr>
        <w:t>e</w:t>
      </w:r>
      <w:r>
        <w:rPr>
          <w:sz w:val="24"/>
          <w:szCs w:val="24"/>
        </w:rPr>
        <w:t>, „vom konkreten Erlebnis“ zu abstrahieren</w:t>
      </w:r>
      <w:r w:rsidR="00D11101">
        <w:rPr>
          <w:sz w:val="24"/>
          <w:szCs w:val="24"/>
        </w:rPr>
        <w:t xml:space="preserve"> und</w:t>
      </w:r>
      <w:r>
        <w:rPr>
          <w:sz w:val="24"/>
          <w:szCs w:val="24"/>
        </w:rPr>
        <w:t xml:space="preserve"> dieses</w:t>
      </w:r>
      <w:r w:rsidR="00D11101">
        <w:rPr>
          <w:sz w:val="24"/>
          <w:szCs w:val="24"/>
        </w:rPr>
        <w:t xml:space="preserve"> stattdessen</w:t>
      </w:r>
      <w:r>
        <w:rPr>
          <w:sz w:val="24"/>
          <w:szCs w:val="24"/>
        </w:rPr>
        <w:t xml:space="preserve"> „im verallgeme</w:t>
      </w:r>
      <w:r>
        <w:rPr>
          <w:sz w:val="24"/>
          <w:szCs w:val="24"/>
        </w:rPr>
        <w:t>i</w:t>
      </w:r>
      <w:r>
        <w:rPr>
          <w:sz w:val="24"/>
          <w:szCs w:val="24"/>
        </w:rPr>
        <w:t>nernden Statement aufhebt“.</w:t>
      </w:r>
      <w:r w:rsidR="001940AB">
        <w:rPr>
          <w:sz w:val="24"/>
          <w:szCs w:val="24"/>
        </w:rPr>
        <w:t xml:space="preserve"> </w:t>
      </w:r>
      <w:r w:rsidR="000112E5">
        <w:rPr>
          <w:sz w:val="24"/>
          <w:szCs w:val="24"/>
        </w:rPr>
        <w:t>Anne Hartmann</w:t>
      </w:r>
      <w:r w:rsidR="001940AB">
        <w:rPr>
          <w:sz w:val="24"/>
          <w:szCs w:val="24"/>
        </w:rPr>
        <w:t xml:space="preserve"> </w:t>
      </w:r>
      <w:r w:rsidR="000112E5">
        <w:rPr>
          <w:sz w:val="24"/>
          <w:szCs w:val="24"/>
        </w:rPr>
        <w:t>macht dazu auf</w:t>
      </w:r>
      <w:r w:rsidR="001940AB">
        <w:rPr>
          <w:sz w:val="24"/>
          <w:szCs w:val="24"/>
        </w:rPr>
        <w:t xml:space="preserve"> verschiedene Details</w:t>
      </w:r>
      <w:r w:rsidR="000112E5">
        <w:rPr>
          <w:sz w:val="24"/>
          <w:szCs w:val="24"/>
        </w:rPr>
        <w:t xml:space="preserve"> aufmer</w:t>
      </w:r>
      <w:r w:rsidR="000112E5">
        <w:rPr>
          <w:sz w:val="24"/>
          <w:szCs w:val="24"/>
        </w:rPr>
        <w:t>k</w:t>
      </w:r>
      <w:r w:rsidR="000112E5">
        <w:rPr>
          <w:sz w:val="24"/>
          <w:szCs w:val="24"/>
        </w:rPr>
        <w:t>sam:</w:t>
      </w:r>
    </w:p>
    <w:p w:rsidR="00925704" w:rsidRDefault="00D11101" w:rsidP="00E41506">
      <w:pPr>
        <w:spacing w:after="0"/>
        <w:ind w:left="1134"/>
        <w:jc w:val="both"/>
        <w:rPr>
          <w:sz w:val="24"/>
          <w:szCs w:val="24"/>
        </w:rPr>
      </w:pPr>
      <w:r w:rsidRPr="00D11101">
        <w:rPr>
          <w:color w:val="000000"/>
          <w:sz w:val="24"/>
          <w:szCs w:val="24"/>
        </w:rPr>
        <w:t>„Die Mitreisenden werden nicht erwähnt, und von den vielen Begegnungen Feuchtwangers mit Politikern, Funktionären und Autoren</w:t>
      </w:r>
      <w:r w:rsidRPr="00D11101">
        <w:rPr>
          <w:sz w:val="24"/>
          <w:szCs w:val="24"/>
        </w:rPr>
        <w:t xml:space="preserve"> erfährt der Leser nicht konkret, allenfalls indirekt:</w:t>
      </w:r>
      <w:r w:rsidRPr="00D11101">
        <w:rPr>
          <w:color w:val="000000"/>
          <w:sz w:val="24"/>
          <w:szCs w:val="24"/>
        </w:rPr>
        <w:t xml:space="preserve"> Die Gesprächspartner bleiben zumeist anonym </w:t>
      </w:r>
      <w:r w:rsidRPr="00D11101">
        <w:rPr>
          <w:sz w:val="24"/>
          <w:szCs w:val="24"/>
        </w:rPr>
        <w:t xml:space="preserve">als ‚ein führender Staatsmann‘, ‚ein hoher Funktionär‘, ‚ein </w:t>
      </w:r>
      <w:proofErr w:type="spellStart"/>
      <w:r w:rsidRPr="00D11101">
        <w:rPr>
          <w:sz w:val="24"/>
          <w:szCs w:val="24"/>
        </w:rPr>
        <w:t>Sowjetphilolog</w:t>
      </w:r>
      <w:proofErr w:type="spellEnd"/>
      <w:r w:rsidRPr="00D11101">
        <w:rPr>
          <w:sz w:val="24"/>
          <w:szCs w:val="24"/>
        </w:rPr>
        <w:t>‘ oder ‚ein Moskauer Schriftsteller‘. Auch die beruflich-geschäftlichen Interessen Feuch</w:t>
      </w:r>
      <w:r w:rsidRPr="00D11101">
        <w:rPr>
          <w:sz w:val="24"/>
          <w:szCs w:val="24"/>
        </w:rPr>
        <w:t>t</w:t>
      </w:r>
      <w:r w:rsidRPr="00D11101">
        <w:rPr>
          <w:sz w:val="24"/>
          <w:szCs w:val="24"/>
        </w:rPr>
        <w:t>wangers, die während des Aufenthalts seine Zeit doch wesentlich in Anspruch nahmen, spielen im Text keine Rolle. Unter Ausblendung des Subjektiven und Privaten entwirft sich Feuchtwanger hier ganz als politischer Reisender und A</w:t>
      </w:r>
      <w:r w:rsidRPr="00D11101">
        <w:rPr>
          <w:sz w:val="24"/>
          <w:szCs w:val="24"/>
        </w:rPr>
        <w:t>u</w:t>
      </w:r>
      <w:r w:rsidRPr="00D11101">
        <w:rPr>
          <w:sz w:val="24"/>
          <w:szCs w:val="24"/>
        </w:rPr>
        <w:t>tor, dessen ‚Zeugnis‘ die Sowjetunion in</w:t>
      </w:r>
      <w:r>
        <w:t xml:space="preserve"> </w:t>
      </w:r>
      <w:r w:rsidRPr="00D11101">
        <w:rPr>
          <w:sz w:val="24"/>
          <w:szCs w:val="24"/>
        </w:rPr>
        <w:t>ihrem ‚„Kampf mit vielen Feinden‘ (</w:t>
      </w:r>
      <w:r w:rsidRPr="00D11101">
        <w:rPr>
          <w:i/>
          <w:sz w:val="24"/>
          <w:szCs w:val="24"/>
        </w:rPr>
        <w:t xml:space="preserve">Moskau </w:t>
      </w:r>
      <w:r w:rsidRPr="00D11101">
        <w:rPr>
          <w:sz w:val="24"/>
          <w:szCs w:val="24"/>
        </w:rPr>
        <w:t>1937, S. 11) stärken soll.“</w:t>
      </w:r>
      <w:r w:rsidR="006A19C9" w:rsidRPr="00D11101">
        <w:rPr>
          <w:rStyle w:val="Funotenzeichen"/>
          <w:sz w:val="24"/>
          <w:szCs w:val="24"/>
        </w:rPr>
        <w:footnoteReference w:id="64"/>
      </w:r>
    </w:p>
    <w:p w:rsidR="00D11101" w:rsidRDefault="0059350C" w:rsidP="00E41506">
      <w:pPr>
        <w:spacing w:after="0"/>
        <w:jc w:val="both"/>
        <w:rPr>
          <w:sz w:val="24"/>
          <w:szCs w:val="24"/>
        </w:rPr>
      </w:pPr>
      <w:r>
        <w:rPr>
          <w:sz w:val="24"/>
          <w:szCs w:val="24"/>
        </w:rPr>
        <w:lastRenderedPageBreak/>
        <w:t>Natürlich löste der Text im Pariser Exil kontroverse Reaktionen aus.</w:t>
      </w:r>
      <w:r>
        <w:rPr>
          <w:rStyle w:val="Funotenzeichen"/>
          <w:sz w:val="24"/>
          <w:szCs w:val="24"/>
        </w:rPr>
        <w:footnoteReference w:id="65"/>
      </w:r>
      <w:r>
        <w:rPr>
          <w:sz w:val="24"/>
          <w:szCs w:val="24"/>
        </w:rPr>
        <w:t xml:space="preserve"> </w:t>
      </w:r>
      <w:r w:rsidR="002B245F">
        <w:rPr>
          <w:sz w:val="24"/>
          <w:szCs w:val="24"/>
        </w:rPr>
        <w:t xml:space="preserve">Der </w:t>
      </w:r>
      <w:r w:rsidR="00BA00D3">
        <w:rPr>
          <w:sz w:val="24"/>
          <w:szCs w:val="24"/>
        </w:rPr>
        <w:t xml:space="preserve">spezielle </w:t>
      </w:r>
      <w:r w:rsidR="002B245F">
        <w:rPr>
          <w:sz w:val="24"/>
          <w:szCs w:val="24"/>
        </w:rPr>
        <w:t>Grund war, dass Feuchtwanger Augenzeuge des Zweiten Moskauer Prozesses gew</w:t>
      </w:r>
      <w:r w:rsidR="001940AB">
        <w:rPr>
          <w:sz w:val="24"/>
          <w:szCs w:val="24"/>
        </w:rPr>
        <w:t>orden</w:t>
      </w:r>
      <w:r w:rsidR="002B245F">
        <w:rPr>
          <w:sz w:val="24"/>
          <w:szCs w:val="24"/>
        </w:rPr>
        <w:t xml:space="preserve"> war. </w:t>
      </w:r>
      <w:r w:rsidR="001940AB">
        <w:rPr>
          <w:sz w:val="24"/>
          <w:szCs w:val="24"/>
        </w:rPr>
        <w:t xml:space="preserve">Feuchtwanger </w:t>
      </w:r>
      <w:r w:rsidR="002B245F">
        <w:rPr>
          <w:sz w:val="24"/>
          <w:szCs w:val="24"/>
        </w:rPr>
        <w:t xml:space="preserve">rechtfertigt die Prozesse. Für </w:t>
      </w:r>
      <w:r w:rsidR="001940AB">
        <w:rPr>
          <w:sz w:val="24"/>
          <w:szCs w:val="24"/>
        </w:rPr>
        <w:t xml:space="preserve">ihn </w:t>
      </w:r>
      <w:r w:rsidR="002B245F">
        <w:rPr>
          <w:sz w:val="24"/>
          <w:szCs w:val="24"/>
        </w:rPr>
        <w:t xml:space="preserve">bleiben zwar </w:t>
      </w:r>
      <w:r w:rsidR="000112E5">
        <w:rPr>
          <w:sz w:val="24"/>
          <w:szCs w:val="24"/>
        </w:rPr>
        <w:t xml:space="preserve">auch jetzt noch </w:t>
      </w:r>
      <w:r w:rsidR="002B245F">
        <w:rPr>
          <w:sz w:val="24"/>
          <w:szCs w:val="24"/>
        </w:rPr>
        <w:t>Unklarheiten</w:t>
      </w:r>
      <w:r w:rsidR="006F1FE3">
        <w:rPr>
          <w:sz w:val="24"/>
          <w:szCs w:val="24"/>
        </w:rPr>
        <w:t xml:space="preserve"> bestehen</w:t>
      </w:r>
      <w:r w:rsidR="002B245F">
        <w:rPr>
          <w:sz w:val="24"/>
          <w:szCs w:val="24"/>
        </w:rPr>
        <w:t>,</w:t>
      </w:r>
      <w:r w:rsidR="002B245F">
        <w:rPr>
          <w:rStyle w:val="Funotenzeichen"/>
          <w:sz w:val="24"/>
          <w:szCs w:val="24"/>
        </w:rPr>
        <w:footnoteReference w:id="66"/>
      </w:r>
      <w:r w:rsidR="0091124C">
        <w:rPr>
          <w:sz w:val="24"/>
          <w:szCs w:val="24"/>
        </w:rPr>
        <w:t xml:space="preserve"> aber </w:t>
      </w:r>
      <w:r w:rsidR="001940AB">
        <w:rPr>
          <w:sz w:val="24"/>
          <w:szCs w:val="24"/>
        </w:rPr>
        <w:t>Einwände</w:t>
      </w:r>
      <w:r w:rsidR="000112E5">
        <w:rPr>
          <w:sz w:val="24"/>
          <w:szCs w:val="24"/>
        </w:rPr>
        <w:t xml:space="preserve"> gegen den Ablauf</w:t>
      </w:r>
      <w:r w:rsidR="001940AB">
        <w:rPr>
          <w:sz w:val="24"/>
          <w:szCs w:val="24"/>
        </w:rPr>
        <w:t xml:space="preserve">, die sich im Sinne der westlichen Demokratien </w:t>
      </w:r>
      <w:r w:rsidR="000112E5">
        <w:rPr>
          <w:sz w:val="24"/>
          <w:szCs w:val="24"/>
        </w:rPr>
        <w:t>auf die R</w:t>
      </w:r>
      <w:r w:rsidR="001940AB">
        <w:rPr>
          <w:sz w:val="24"/>
          <w:szCs w:val="24"/>
        </w:rPr>
        <w:t>echt</w:t>
      </w:r>
      <w:r w:rsidR="00C52CBD">
        <w:rPr>
          <w:sz w:val="24"/>
          <w:szCs w:val="24"/>
        </w:rPr>
        <w:t>s</w:t>
      </w:r>
      <w:r w:rsidR="001940AB">
        <w:rPr>
          <w:sz w:val="24"/>
          <w:szCs w:val="24"/>
        </w:rPr>
        <w:t>staatlich</w:t>
      </w:r>
      <w:r w:rsidR="000112E5">
        <w:rPr>
          <w:sz w:val="24"/>
          <w:szCs w:val="24"/>
        </w:rPr>
        <w:t>keit des</w:t>
      </w:r>
      <w:r w:rsidR="001940AB">
        <w:rPr>
          <w:sz w:val="24"/>
          <w:szCs w:val="24"/>
        </w:rPr>
        <w:t xml:space="preserve"> Verfahrens beziehen, stellt er </w:t>
      </w:r>
      <w:r w:rsidR="006F1FE3">
        <w:rPr>
          <w:sz w:val="24"/>
          <w:szCs w:val="24"/>
        </w:rPr>
        <w:t xml:space="preserve">explizit </w:t>
      </w:r>
      <w:r w:rsidR="001940AB">
        <w:rPr>
          <w:sz w:val="24"/>
          <w:szCs w:val="24"/>
        </w:rPr>
        <w:t>zurück.</w:t>
      </w:r>
      <w:r w:rsidR="001940AB">
        <w:rPr>
          <w:rStyle w:val="Funotenzeichen"/>
          <w:sz w:val="24"/>
          <w:szCs w:val="24"/>
        </w:rPr>
        <w:footnoteReference w:id="67"/>
      </w:r>
      <w:r w:rsidR="00C52CBD">
        <w:rPr>
          <w:sz w:val="24"/>
          <w:szCs w:val="24"/>
        </w:rPr>
        <w:t xml:space="preserve"> Stattdessen </w:t>
      </w:r>
      <w:r w:rsidR="00BA00D3">
        <w:rPr>
          <w:sz w:val="24"/>
          <w:szCs w:val="24"/>
        </w:rPr>
        <w:t xml:space="preserve">entfaltet er eine Konstruktion, in deren Rahmen die Prozesse </w:t>
      </w:r>
      <w:r w:rsidR="009569FA">
        <w:rPr>
          <w:sz w:val="24"/>
          <w:szCs w:val="24"/>
        </w:rPr>
        <w:t xml:space="preserve">gleichsam als </w:t>
      </w:r>
      <w:r w:rsidR="00BA00D3">
        <w:rPr>
          <w:sz w:val="24"/>
          <w:szCs w:val="24"/>
        </w:rPr>
        <w:t>historische No</w:t>
      </w:r>
      <w:r w:rsidR="00BA00D3">
        <w:rPr>
          <w:sz w:val="24"/>
          <w:szCs w:val="24"/>
        </w:rPr>
        <w:t>t</w:t>
      </w:r>
      <w:r w:rsidR="00BA00D3">
        <w:rPr>
          <w:sz w:val="24"/>
          <w:szCs w:val="24"/>
        </w:rPr>
        <w:t xml:space="preserve">wendigkeit </w:t>
      </w:r>
      <w:r w:rsidR="009569FA">
        <w:rPr>
          <w:sz w:val="24"/>
          <w:szCs w:val="24"/>
        </w:rPr>
        <w:t>in Erscheinung treten</w:t>
      </w:r>
      <w:r w:rsidR="00BA00D3">
        <w:rPr>
          <w:sz w:val="24"/>
          <w:szCs w:val="24"/>
        </w:rPr>
        <w:t xml:space="preserve">, </w:t>
      </w:r>
      <w:r w:rsidR="009569FA">
        <w:rPr>
          <w:sz w:val="24"/>
          <w:szCs w:val="24"/>
        </w:rPr>
        <w:t>jedoch auch das nicht mit</w:t>
      </w:r>
      <w:r w:rsidR="00BA00D3">
        <w:rPr>
          <w:sz w:val="24"/>
          <w:szCs w:val="24"/>
        </w:rPr>
        <w:t xml:space="preserve"> offenen Worten, sondern indem </w:t>
      </w:r>
      <w:r w:rsidR="009569FA">
        <w:rPr>
          <w:sz w:val="24"/>
          <w:szCs w:val="24"/>
        </w:rPr>
        <w:t>Feuchtwanger</w:t>
      </w:r>
      <w:r w:rsidR="00BA00D3">
        <w:rPr>
          <w:sz w:val="24"/>
          <w:szCs w:val="24"/>
        </w:rPr>
        <w:t xml:space="preserve"> ein „Portrait</w:t>
      </w:r>
      <w:r w:rsidR="009569FA">
        <w:rPr>
          <w:sz w:val="24"/>
          <w:szCs w:val="24"/>
        </w:rPr>
        <w:t>“</w:t>
      </w:r>
      <w:r w:rsidR="00BA00D3">
        <w:rPr>
          <w:sz w:val="24"/>
          <w:szCs w:val="24"/>
        </w:rPr>
        <w:t xml:space="preserve"> der Sowjetunion zeichnet</w:t>
      </w:r>
      <w:r w:rsidR="009569FA">
        <w:rPr>
          <w:sz w:val="24"/>
          <w:szCs w:val="24"/>
        </w:rPr>
        <w:t xml:space="preserve">. Er benennt in dem Portrait </w:t>
      </w:r>
      <w:r w:rsidR="00BA00D3">
        <w:rPr>
          <w:sz w:val="24"/>
          <w:szCs w:val="24"/>
        </w:rPr>
        <w:t xml:space="preserve">zwar Ziele, </w:t>
      </w:r>
      <w:r w:rsidR="009569FA">
        <w:rPr>
          <w:sz w:val="24"/>
          <w:szCs w:val="24"/>
        </w:rPr>
        <w:t xml:space="preserve">verwandelt </w:t>
      </w:r>
      <w:r w:rsidR="00BA00D3">
        <w:rPr>
          <w:sz w:val="24"/>
          <w:szCs w:val="24"/>
        </w:rPr>
        <w:t>die Ziele aber in Abstrakta, in „Symbole“</w:t>
      </w:r>
      <w:r w:rsidR="0091124C">
        <w:rPr>
          <w:sz w:val="24"/>
          <w:szCs w:val="24"/>
        </w:rPr>
        <w:t>:</w:t>
      </w:r>
    </w:p>
    <w:p w:rsidR="0091124C" w:rsidRDefault="0091124C" w:rsidP="00E41506">
      <w:pPr>
        <w:spacing w:after="0"/>
        <w:ind w:left="1134"/>
        <w:jc w:val="both"/>
        <w:rPr>
          <w:sz w:val="24"/>
          <w:szCs w:val="24"/>
        </w:rPr>
      </w:pPr>
      <w:r>
        <w:rPr>
          <w:sz w:val="24"/>
          <w:szCs w:val="24"/>
        </w:rPr>
        <w:t xml:space="preserve">„Die Sowjetunion hat zwei Gesichter. Das Gesicht der kämpfenden Union ist die grausame Strenge, mit welcher sie jede Opposition niedertritt. Das Gesicht der bauenden Union ist die Demokratie, die sie in ihrer Verfassung als ihr letztes Ziel manifestiert hat. Es wirkt wie ein Symbol, </w:t>
      </w:r>
      <w:proofErr w:type="spellStart"/>
      <w:r>
        <w:rPr>
          <w:sz w:val="24"/>
          <w:szCs w:val="24"/>
        </w:rPr>
        <w:t>daß</w:t>
      </w:r>
      <w:proofErr w:type="spellEnd"/>
      <w:r>
        <w:rPr>
          <w:sz w:val="24"/>
          <w:szCs w:val="24"/>
        </w:rPr>
        <w:t xml:space="preserve"> gerade zwischen den beiden Trot</w:t>
      </w:r>
      <w:r>
        <w:rPr>
          <w:sz w:val="24"/>
          <w:szCs w:val="24"/>
        </w:rPr>
        <w:t>z</w:t>
      </w:r>
      <w:r>
        <w:rPr>
          <w:sz w:val="24"/>
          <w:szCs w:val="24"/>
        </w:rPr>
        <w:t xml:space="preserve">kistenprozessen, zwischen dem </w:t>
      </w:r>
      <w:proofErr w:type="spellStart"/>
      <w:r>
        <w:rPr>
          <w:sz w:val="24"/>
          <w:szCs w:val="24"/>
        </w:rPr>
        <w:t>Sinowjew</w:t>
      </w:r>
      <w:proofErr w:type="spellEnd"/>
      <w:r>
        <w:rPr>
          <w:sz w:val="24"/>
          <w:szCs w:val="24"/>
        </w:rPr>
        <w:t xml:space="preserve">- und dem </w:t>
      </w:r>
      <w:proofErr w:type="spellStart"/>
      <w:r>
        <w:rPr>
          <w:sz w:val="24"/>
          <w:szCs w:val="24"/>
        </w:rPr>
        <w:t>Radekprozeß</w:t>
      </w:r>
      <w:proofErr w:type="spellEnd"/>
      <w:r>
        <w:rPr>
          <w:sz w:val="24"/>
          <w:szCs w:val="24"/>
        </w:rPr>
        <w:t>, ein außero</w:t>
      </w:r>
      <w:r>
        <w:rPr>
          <w:sz w:val="24"/>
          <w:szCs w:val="24"/>
        </w:rPr>
        <w:t>r</w:t>
      </w:r>
      <w:r>
        <w:rPr>
          <w:sz w:val="24"/>
          <w:szCs w:val="24"/>
        </w:rPr>
        <w:t xml:space="preserve">dentlicher </w:t>
      </w:r>
      <w:proofErr w:type="spellStart"/>
      <w:r>
        <w:rPr>
          <w:sz w:val="24"/>
          <w:szCs w:val="24"/>
        </w:rPr>
        <w:t>Kongreß</w:t>
      </w:r>
      <w:proofErr w:type="spellEnd"/>
      <w:r>
        <w:rPr>
          <w:sz w:val="24"/>
          <w:szCs w:val="24"/>
        </w:rPr>
        <w:t xml:space="preserve"> die neue Verfassung angenommen hat.“</w:t>
      </w:r>
      <w:r>
        <w:rPr>
          <w:rStyle w:val="Funotenzeichen"/>
          <w:sz w:val="24"/>
          <w:szCs w:val="24"/>
        </w:rPr>
        <w:footnoteReference w:id="68"/>
      </w:r>
    </w:p>
    <w:p w:rsidR="00323E1F" w:rsidRDefault="0091124C" w:rsidP="00E41506">
      <w:pPr>
        <w:spacing w:after="0"/>
        <w:jc w:val="both"/>
        <w:rPr>
          <w:sz w:val="24"/>
          <w:szCs w:val="24"/>
        </w:rPr>
      </w:pPr>
      <w:r>
        <w:rPr>
          <w:sz w:val="24"/>
          <w:szCs w:val="24"/>
        </w:rPr>
        <w:t xml:space="preserve">Ein solches Urteil </w:t>
      </w:r>
      <w:r w:rsidR="00323E1F">
        <w:rPr>
          <w:sz w:val="24"/>
          <w:szCs w:val="24"/>
        </w:rPr>
        <w:t>ist das klassische Beispiel</w:t>
      </w:r>
      <w:r>
        <w:rPr>
          <w:sz w:val="24"/>
          <w:szCs w:val="24"/>
        </w:rPr>
        <w:t xml:space="preserve"> ein</w:t>
      </w:r>
      <w:r w:rsidR="00323E1F">
        <w:rPr>
          <w:sz w:val="24"/>
          <w:szCs w:val="24"/>
        </w:rPr>
        <w:t>es</w:t>
      </w:r>
      <w:r>
        <w:rPr>
          <w:sz w:val="24"/>
          <w:szCs w:val="24"/>
        </w:rPr>
        <w:t xml:space="preserve"> </w:t>
      </w:r>
      <w:proofErr w:type="spellStart"/>
      <w:r w:rsidRPr="0091124C">
        <w:rPr>
          <w:i/>
          <w:sz w:val="24"/>
          <w:szCs w:val="24"/>
        </w:rPr>
        <w:t>sacrificium</w:t>
      </w:r>
      <w:proofErr w:type="spellEnd"/>
      <w:r w:rsidRPr="0091124C">
        <w:rPr>
          <w:i/>
          <w:sz w:val="24"/>
          <w:szCs w:val="24"/>
        </w:rPr>
        <w:t xml:space="preserve"> </w:t>
      </w:r>
      <w:proofErr w:type="spellStart"/>
      <w:r w:rsidRPr="0091124C">
        <w:rPr>
          <w:i/>
          <w:sz w:val="24"/>
          <w:szCs w:val="24"/>
        </w:rPr>
        <w:t>intellectus</w:t>
      </w:r>
      <w:proofErr w:type="spellEnd"/>
      <w:r>
        <w:rPr>
          <w:sz w:val="24"/>
          <w:szCs w:val="24"/>
        </w:rPr>
        <w:t>.</w:t>
      </w:r>
      <w:r w:rsidR="00323E1F">
        <w:rPr>
          <w:sz w:val="24"/>
          <w:szCs w:val="24"/>
        </w:rPr>
        <w:t xml:space="preserve"> D</w:t>
      </w:r>
      <w:r w:rsidR="009569FA">
        <w:rPr>
          <w:sz w:val="24"/>
          <w:szCs w:val="24"/>
        </w:rPr>
        <w:t>a</w:t>
      </w:r>
      <w:r w:rsidR="006F1FE3">
        <w:rPr>
          <w:sz w:val="24"/>
          <w:szCs w:val="24"/>
        </w:rPr>
        <w:t>s Faktum</w:t>
      </w:r>
      <w:r w:rsidR="00323E1F">
        <w:rPr>
          <w:sz w:val="24"/>
          <w:szCs w:val="24"/>
        </w:rPr>
        <w:t xml:space="preserve"> war </w:t>
      </w:r>
      <w:r w:rsidR="006F1FE3">
        <w:rPr>
          <w:sz w:val="24"/>
          <w:szCs w:val="24"/>
        </w:rPr>
        <w:t>für die Kritiker der Prozesse und erst recht f</w:t>
      </w:r>
      <w:r w:rsidR="00323E1F">
        <w:rPr>
          <w:sz w:val="24"/>
          <w:szCs w:val="24"/>
        </w:rPr>
        <w:t xml:space="preserve">ür </w:t>
      </w:r>
      <w:r w:rsidR="00CF06D3">
        <w:rPr>
          <w:sz w:val="24"/>
          <w:szCs w:val="24"/>
        </w:rPr>
        <w:t>die Betroffenen</w:t>
      </w:r>
      <w:r w:rsidR="00CF06D3">
        <w:rPr>
          <w:rStyle w:val="Funotenzeichen"/>
          <w:sz w:val="24"/>
          <w:szCs w:val="24"/>
        </w:rPr>
        <w:footnoteReference w:id="69"/>
      </w:r>
      <w:r w:rsidR="00CF06D3">
        <w:rPr>
          <w:sz w:val="24"/>
          <w:szCs w:val="24"/>
        </w:rPr>
        <w:t xml:space="preserve"> </w:t>
      </w:r>
      <w:r w:rsidR="00323E1F">
        <w:rPr>
          <w:sz w:val="24"/>
          <w:szCs w:val="24"/>
        </w:rPr>
        <w:t>offensichtlich</w:t>
      </w:r>
      <w:r w:rsidR="00C52CBD">
        <w:rPr>
          <w:sz w:val="24"/>
          <w:szCs w:val="24"/>
        </w:rPr>
        <w:t>.</w:t>
      </w:r>
      <w:r w:rsidR="00323E1F">
        <w:rPr>
          <w:sz w:val="24"/>
          <w:szCs w:val="24"/>
        </w:rPr>
        <w:t xml:space="preserve"> </w:t>
      </w:r>
      <w:r w:rsidR="00C52CBD">
        <w:rPr>
          <w:sz w:val="24"/>
          <w:szCs w:val="24"/>
        </w:rPr>
        <w:t>D</w:t>
      </w:r>
      <w:r w:rsidR="00323E1F">
        <w:rPr>
          <w:sz w:val="24"/>
          <w:szCs w:val="24"/>
        </w:rPr>
        <w:t xml:space="preserve">er Tonfall, in dem Feuchtwanger </w:t>
      </w:r>
      <w:r w:rsidR="004B76AA">
        <w:rPr>
          <w:sz w:val="24"/>
          <w:szCs w:val="24"/>
        </w:rPr>
        <w:t xml:space="preserve">dabei </w:t>
      </w:r>
      <w:r w:rsidR="00323E1F">
        <w:rPr>
          <w:sz w:val="24"/>
          <w:szCs w:val="24"/>
        </w:rPr>
        <w:t>generalisierend</w:t>
      </w:r>
      <w:r w:rsidR="006F1FE3" w:rsidRPr="006F1FE3">
        <w:rPr>
          <w:sz w:val="24"/>
          <w:szCs w:val="24"/>
        </w:rPr>
        <w:t xml:space="preserve"> </w:t>
      </w:r>
      <w:r w:rsidR="006F1FE3">
        <w:rPr>
          <w:sz w:val="24"/>
          <w:szCs w:val="24"/>
        </w:rPr>
        <w:t xml:space="preserve">von </w:t>
      </w:r>
      <w:r w:rsidR="009569FA">
        <w:rPr>
          <w:sz w:val="24"/>
          <w:szCs w:val="24"/>
        </w:rPr>
        <w:t>„</w:t>
      </w:r>
      <w:r w:rsidR="006F1FE3">
        <w:rPr>
          <w:sz w:val="24"/>
          <w:szCs w:val="24"/>
        </w:rPr>
        <w:t>den Sowjetleuten“ spricht – wobei der Begriff die Ini</w:t>
      </w:r>
      <w:r w:rsidR="00C52CBD">
        <w:rPr>
          <w:sz w:val="24"/>
          <w:szCs w:val="24"/>
        </w:rPr>
        <w:t xml:space="preserve">tiatoren </w:t>
      </w:r>
      <w:r w:rsidR="004B76AA">
        <w:rPr>
          <w:sz w:val="24"/>
          <w:szCs w:val="24"/>
        </w:rPr>
        <w:t xml:space="preserve">der Prozesse </w:t>
      </w:r>
      <w:r w:rsidR="00323E1F">
        <w:rPr>
          <w:sz w:val="24"/>
          <w:szCs w:val="24"/>
        </w:rPr>
        <w:t xml:space="preserve">und </w:t>
      </w:r>
      <w:r w:rsidR="00C52CBD">
        <w:rPr>
          <w:sz w:val="24"/>
          <w:szCs w:val="24"/>
        </w:rPr>
        <w:t xml:space="preserve">die </w:t>
      </w:r>
      <w:r w:rsidR="004B76AA">
        <w:rPr>
          <w:sz w:val="24"/>
          <w:szCs w:val="24"/>
        </w:rPr>
        <w:t>sowjetische Bevölkerung</w:t>
      </w:r>
      <w:r w:rsidR="00323E1F">
        <w:rPr>
          <w:sz w:val="24"/>
          <w:szCs w:val="24"/>
        </w:rPr>
        <w:t xml:space="preserve"> </w:t>
      </w:r>
      <w:r w:rsidR="006F1FE3">
        <w:rPr>
          <w:sz w:val="24"/>
          <w:szCs w:val="24"/>
        </w:rPr>
        <w:t>in gleicher Weise umfasst</w:t>
      </w:r>
      <w:r w:rsidR="00BD7AED">
        <w:rPr>
          <w:sz w:val="24"/>
          <w:szCs w:val="24"/>
        </w:rPr>
        <w:t xml:space="preserve"> –</w:t>
      </w:r>
      <w:r w:rsidR="006F1FE3">
        <w:rPr>
          <w:sz w:val="24"/>
          <w:szCs w:val="24"/>
        </w:rPr>
        <w:t>,</w:t>
      </w:r>
      <w:r w:rsidR="00323E1F">
        <w:rPr>
          <w:sz w:val="24"/>
          <w:szCs w:val="24"/>
        </w:rPr>
        <w:t xml:space="preserve"> </w:t>
      </w:r>
      <w:r w:rsidR="00BD7AED">
        <w:rPr>
          <w:sz w:val="24"/>
          <w:szCs w:val="24"/>
        </w:rPr>
        <w:t xml:space="preserve">forderte nahezu zwangsläufig </w:t>
      </w:r>
      <w:r w:rsidR="004B76AA">
        <w:rPr>
          <w:sz w:val="24"/>
          <w:szCs w:val="24"/>
        </w:rPr>
        <w:t>zu</w:t>
      </w:r>
      <w:r w:rsidR="00BD7AED">
        <w:rPr>
          <w:sz w:val="24"/>
          <w:szCs w:val="24"/>
        </w:rPr>
        <w:t xml:space="preserve"> Protest</w:t>
      </w:r>
      <w:r w:rsidR="004B76AA">
        <w:rPr>
          <w:sz w:val="24"/>
          <w:szCs w:val="24"/>
        </w:rPr>
        <w:t>en</w:t>
      </w:r>
      <w:r w:rsidR="00BD7AED">
        <w:rPr>
          <w:sz w:val="24"/>
          <w:szCs w:val="24"/>
        </w:rPr>
        <w:t xml:space="preserve"> heraus</w:t>
      </w:r>
      <w:r w:rsidR="00323E1F">
        <w:rPr>
          <w:sz w:val="24"/>
          <w:szCs w:val="24"/>
        </w:rPr>
        <w:t xml:space="preserve">, zumal </w:t>
      </w:r>
      <w:r w:rsidR="004B76AA">
        <w:rPr>
          <w:sz w:val="24"/>
          <w:szCs w:val="24"/>
        </w:rPr>
        <w:t xml:space="preserve">im März 1938 </w:t>
      </w:r>
      <w:r w:rsidR="00323E1F">
        <w:rPr>
          <w:sz w:val="24"/>
          <w:szCs w:val="24"/>
        </w:rPr>
        <w:t xml:space="preserve">auf den </w:t>
      </w:r>
      <w:r w:rsidR="00323E1F" w:rsidRPr="004B76AA">
        <w:rPr>
          <w:sz w:val="24"/>
          <w:szCs w:val="24"/>
        </w:rPr>
        <w:t xml:space="preserve">zweiten </w:t>
      </w:r>
      <w:r w:rsidR="00323E1F">
        <w:rPr>
          <w:sz w:val="24"/>
          <w:szCs w:val="24"/>
        </w:rPr>
        <w:t xml:space="preserve">der </w:t>
      </w:r>
      <w:r w:rsidR="00323E1F" w:rsidRPr="00323E1F">
        <w:rPr>
          <w:i/>
          <w:sz w:val="24"/>
          <w:szCs w:val="24"/>
        </w:rPr>
        <w:t>dritte</w:t>
      </w:r>
      <w:r w:rsidR="00323E1F">
        <w:rPr>
          <w:sz w:val="24"/>
          <w:szCs w:val="24"/>
        </w:rPr>
        <w:t xml:space="preserve"> </w:t>
      </w:r>
      <w:r w:rsidR="001A2AEB">
        <w:rPr>
          <w:sz w:val="24"/>
          <w:szCs w:val="24"/>
        </w:rPr>
        <w:t xml:space="preserve">Prozess </w:t>
      </w:r>
      <w:r w:rsidR="00323E1F">
        <w:rPr>
          <w:sz w:val="24"/>
          <w:szCs w:val="24"/>
        </w:rPr>
        <w:t xml:space="preserve">folgte. </w:t>
      </w:r>
      <w:r w:rsidR="004B76AA">
        <w:rPr>
          <w:sz w:val="24"/>
          <w:szCs w:val="24"/>
        </w:rPr>
        <w:t>G</w:t>
      </w:r>
      <w:r w:rsidR="001A2AEB">
        <w:rPr>
          <w:sz w:val="24"/>
          <w:szCs w:val="24"/>
        </w:rPr>
        <w:t xml:space="preserve">egen die Verhaftungen, die </w:t>
      </w:r>
      <w:r w:rsidR="004B76AA">
        <w:rPr>
          <w:sz w:val="24"/>
          <w:szCs w:val="24"/>
        </w:rPr>
        <w:t xml:space="preserve">bereits </w:t>
      </w:r>
      <w:r w:rsidR="001A2AEB">
        <w:rPr>
          <w:sz w:val="24"/>
          <w:szCs w:val="24"/>
        </w:rPr>
        <w:t xml:space="preserve">im Vorfeld dieses Prozesses </w:t>
      </w:r>
      <w:r w:rsidR="004B76AA">
        <w:rPr>
          <w:sz w:val="24"/>
          <w:szCs w:val="24"/>
        </w:rPr>
        <w:t>stat</w:t>
      </w:r>
      <w:r w:rsidR="004B76AA">
        <w:rPr>
          <w:sz w:val="24"/>
          <w:szCs w:val="24"/>
        </w:rPr>
        <w:t>t</w:t>
      </w:r>
      <w:r w:rsidR="004B76AA">
        <w:rPr>
          <w:sz w:val="24"/>
          <w:szCs w:val="24"/>
        </w:rPr>
        <w:t>fand</w:t>
      </w:r>
      <w:r w:rsidR="001A2AEB">
        <w:rPr>
          <w:sz w:val="24"/>
          <w:szCs w:val="24"/>
        </w:rPr>
        <w:t xml:space="preserve">en, </w:t>
      </w:r>
      <w:r w:rsidR="004B76AA">
        <w:rPr>
          <w:sz w:val="24"/>
          <w:szCs w:val="24"/>
        </w:rPr>
        <w:t>protestierten diesmal sogar politische Autoritäten</w:t>
      </w:r>
      <w:r w:rsidR="00BD7AED">
        <w:rPr>
          <w:sz w:val="24"/>
          <w:szCs w:val="24"/>
        </w:rPr>
        <w:t>:</w:t>
      </w:r>
      <w:r w:rsidR="00A95AD9">
        <w:rPr>
          <w:sz w:val="24"/>
          <w:szCs w:val="24"/>
        </w:rPr>
        <w:t xml:space="preserve"> </w:t>
      </w:r>
      <w:r w:rsidR="004B76AA">
        <w:rPr>
          <w:sz w:val="24"/>
          <w:szCs w:val="24"/>
        </w:rPr>
        <w:t xml:space="preserve">die Nobelpreisträger </w:t>
      </w:r>
      <w:r w:rsidR="00A95AD9">
        <w:rPr>
          <w:sz w:val="24"/>
          <w:szCs w:val="24"/>
        </w:rPr>
        <w:t>Albert Ei</w:t>
      </w:r>
      <w:r w:rsidR="00A95AD9">
        <w:rPr>
          <w:sz w:val="24"/>
          <w:szCs w:val="24"/>
        </w:rPr>
        <w:t>n</w:t>
      </w:r>
      <w:r w:rsidR="00A95AD9">
        <w:rPr>
          <w:sz w:val="24"/>
          <w:szCs w:val="24"/>
        </w:rPr>
        <w:t>stein, Jean Perrin</w:t>
      </w:r>
      <w:r w:rsidR="001A2AEB">
        <w:rPr>
          <w:sz w:val="24"/>
          <w:szCs w:val="24"/>
        </w:rPr>
        <w:t xml:space="preserve"> sowie</w:t>
      </w:r>
      <w:r w:rsidR="00A95AD9">
        <w:rPr>
          <w:sz w:val="24"/>
          <w:szCs w:val="24"/>
        </w:rPr>
        <w:t xml:space="preserve"> Irène und Frédéric Joliot-Curie</w:t>
      </w:r>
      <w:r w:rsidR="00C52CBD">
        <w:rPr>
          <w:sz w:val="24"/>
          <w:szCs w:val="24"/>
        </w:rPr>
        <w:t>.</w:t>
      </w:r>
      <w:r w:rsidR="00C52CBD">
        <w:rPr>
          <w:rStyle w:val="Funotenzeichen"/>
          <w:sz w:val="24"/>
          <w:szCs w:val="24"/>
        </w:rPr>
        <w:footnoteReference w:id="70"/>
      </w:r>
      <w:r w:rsidR="00A95AD9">
        <w:rPr>
          <w:sz w:val="24"/>
          <w:szCs w:val="24"/>
        </w:rPr>
        <w:t xml:space="preserve"> </w:t>
      </w:r>
    </w:p>
    <w:p w:rsidR="00BD7AED" w:rsidRDefault="00BD7AED" w:rsidP="00E41506">
      <w:pPr>
        <w:spacing w:after="0"/>
        <w:jc w:val="both"/>
        <w:rPr>
          <w:sz w:val="24"/>
          <w:szCs w:val="24"/>
        </w:rPr>
      </w:pPr>
    </w:p>
    <w:p w:rsidR="00BD7AED" w:rsidRDefault="001A2AEB" w:rsidP="00E41506">
      <w:pPr>
        <w:spacing w:after="0"/>
        <w:ind w:firstLine="708"/>
        <w:jc w:val="both"/>
        <w:rPr>
          <w:sz w:val="24"/>
          <w:szCs w:val="24"/>
        </w:rPr>
      </w:pPr>
      <w:r>
        <w:rPr>
          <w:sz w:val="24"/>
          <w:szCs w:val="24"/>
        </w:rPr>
        <w:t>Feuchtwanger hielt sich vom 1. Dezember 1936 bis zum 4. Februar 1937 in der So</w:t>
      </w:r>
      <w:r>
        <w:rPr>
          <w:sz w:val="24"/>
          <w:szCs w:val="24"/>
        </w:rPr>
        <w:t>w</w:t>
      </w:r>
      <w:r>
        <w:rPr>
          <w:sz w:val="24"/>
          <w:szCs w:val="24"/>
        </w:rPr>
        <w:t>jetunion auf. Er reiste in Begleitung seiner Freundin Eva Herrmann</w:t>
      </w:r>
      <w:r w:rsidR="00EE4CE1">
        <w:rPr>
          <w:sz w:val="24"/>
          <w:szCs w:val="24"/>
        </w:rPr>
        <w:t xml:space="preserve"> und von</w:t>
      </w:r>
      <w:r>
        <w:rPr>
          <w:sz w:val="24"/>
          <w:szCs w:val="24"/>
        </w:rPr>
        <w:t xml:space="preserve"> Ludwig und S</w:t>
      </w:r>
      <w:r>
        <w:rPr>
          <w:sz w:val="24"/>
          <w:szCs w:val="24"/>
        </w:rPr>
        <w:t>a</w:t>
      </w:r>
      <w:r>
        <w:rPr>
          <w:sz w:val="24"/>
          <w:szCs w:val="24"/>
        </w:rPr>
        <w:t>scha Marcuse</w:t>
      </w:r>
      <w:r w:rsidR="00EE4CE1">
        <w:rPr>
          <w:sz w:val="24"/>
          <w:szCs w:val="24"/>
        </w:rPr>
        <w:t>.</w:t>
      </w:r>
      <w:r w:rsidR="00353AD8">
        <w:rPr>
          <w:rStyle w:val="Funotenzeichen"/>
          <w:sz w:val="24"/>
          <w:szCs w:val="24"/>
        </w:rPr>
        <w:footnoteReference w:id="71"/>
      </w:r>
      <w:r w:rsidR="00EE4CE1">
        <w:rPr>
          <w:sz w:val="24"/>
          <w:szCs w:val="24"/>
        </w:rPr>
        <w:t xml:space="preserve"> </w:t>
      </w:r>
      <w:r w:rsidR="00631364">
        <w:rPr>
          <w:sz w:val="24"/>
          <w:szCs w:val="24"/>
        </w:rPr>
        <w:t>Mit der Niederschrift des Berichts beginnt er am 1. März 1937</w:t>
      </w:r>
      <w:r w:rsidR="00EE4CE1">
        <w:rPr>
          <w:sz w:val="24"/>
          <w:szCs w:val="24"/>
        </w:rPr>
        <w:t xml:space="preserve">. </w:t>
      </w:r>
      <w:r w:rsidR="00631364">
        <w:rPr>
          <w:sz w:val="24"/>
          <w:szCs w:val="24"/>
        </w:rPr>
        <w:t>A</w:t>
      </w:r>
      <w:r w:rsidR="00EE4CE1">
        <w:rPr>
          <w:sz w:val="24"/>
          <w:szCs w:val="24"/>
        </w:rPr>
        <w:t>m 14. März ist eine erste Fassung fertiggestellt, die zweite Ende März</w:t>
      </w:r>
      <w:r w:rsidR="00631364">
        <w:rPr>
          <w:sz w:val="24"/>
          <w:szCs w:val="24"/>
        </w:rPr>
        <w:t>. Es schließt sich</w:t>
      </w:r>
      <w:r w:rsidR="00EE4CE1">
        <w:rPr>
          <w:sz w:val="24"/>
          <w:szCs w:val="24"/>
        </w:rPr>
        <w:t xml:space="preserve"> eine </w:t>
      </w:r>
      <w:r w:rsidR="00631364">
        <w:rPr>
          <w:sz w:val="24"/>
          <w:szCs w:val="24"/>
        </w:rPr>
        <w:t xml:space="preserve">erneute </w:t>
      </w:r>
      <w:r w:rsidR="00EE4CE1">
        <w:rPr>
          <w:sz w:val="24"/>
          <w:szCs w:val="24"/>
        </w:rPr>
        <w:t>„</w:t>
      </w:r>
      <w:proofErr w:type="spellStart"/>
      <w:r w:rsidR="00EE4CE1">
        <w:rPr>
          <w:sz w:val="24"/>
          <w:szCs w:val="24"/>
        </w:rPr>
        <w:t>Überfeilung</w:t>
      </w:r>
      <w:proofErr w:type="spellEnd"/>
      <w:r w:rsidR="00EE4CE1">
        <w:rPr>
          <w:sz w:val="24"/>
          <w:szCs w:val="24"/>
        </w:rPr>
        <w:t xml:space="preserve">“ </w:t>
      </w:r>
      <w:r w:rsidR="00631364">
        <w:rPr>
          <w:sz w:val="24"/>
          <w:szCs w:val="24"/>
        </w:rPr>
        <w:t>(7</w:t>
      </w:r>
      <w:r w:rsidR="00EE4CE1">
        <w:rPr>
          <w:sz w:val="24"/>
          <w:szCs w:val="24"/>
        </w:rPr>
        <w:t>. April</w:t>
      </w:r>
      <w:r w:rsidR="00631364">
        <w:rPr>
          <w:sz w:val="24"/>
          <w:szCs w:val="24"/>
        </w:rPr>
        <w:t>) an</w:t>
      </w:r>
      <w:r w:rsidR="004B76AA">
        <w:rPr>
          <w:sz w:val="24"/>
          <w:szCs w:val="24"/>
        </w:rPr>
        <w:t>.</w:t>
      </w:r>
      <w:r w:rsidR="00631364">
        <w:rPr>
          <w:sz w:val="24"/>
          <w:szCs w:val="24"/>
        </w:rPr>
        <w:t xml:space="preserve"> </w:t>
      </w:r>
      <w:r w:rsidR="004B76AA">
        <w:rPr>
          <w:sz w:val="24"/>
          <w:szCs w:val="24"/>
        </w:rPr>
        <w:t>A</w:t>
      </w:r>
      <w:r w:rsidR="00631364">
        <w:rPr>
          <w:sz w:val="24"/>
          <w:szCs w:val="24"/>
        </w:rPr>
        <w:t>m 11. April hält Feuchtwanger in seinem Tagebuch fest: „Ru</w:t>
      </w:r>
      <w:r w:rsidR="00631364">
        <w:rPr>
          <w:sz w:val="24"/>
          <w:szCs w:val="24"/>
        </w:rPr>
        <w:t>s</w:t>
      </w:r>
      <w:r w:rsidR="00631364">
        <w:rPr>
          <w:sz w:val="24"/>
          <w:szCs w:val="24"/>
        </w:rPr>
        <w:t>sisches Buch endgültig vollendet“</w:t>
      </w:r>
      <w:r w:rsidR="00EE4CE1">
        <w:rPr>
          <w:sz w:val="24"/>
          <w:szCs w:val="24"/>
        </w:rPr>
        <w:t>.</w:t>
      </w:r>
      <w:r w:rsidR="00631364">
        <w:rPr>
          <w:rStyle w:val="Funotenzeichen"/>
          <w:sz w:val="24"/>
          <w:szCs w:val="24"/>
        </w:rPr>
        <w:footnoteReference w:id="72"/>
      </w:r>
      <w:r w:rsidR="00EE4CE1">
        <w:rPr>
          <w:sz w:val="24"/>
          <w:szCs w:val="24"/>
        </w:rPr>
        <w:t xml:space="preserve"> </w:t>
      </w:r>
      <w:r w:rsidR="004B76AA">
        <w:rPr>
          <w:sz w:val="24"/>
          <w:szCs w:val="24"/>
        </w:rPr>
        <w:t xml:space="preserve">Doch bei dieser Fassung bleibt es nicht. </w:t>
      </w:r>
      <w:r w:rsidR="00335B87">
        <w:rPr>
          <w:sz w:val="24"/>
          <w:szCs w:val="24"/>
        </w:rPr>
        <w:t xml:space="preserve">Ende Mai 1937 macht Michail </w:t>
      </w:r>
      <w:proofErr w:type="spellStart"/>
      <w:r w:rsidR="00335B87">
        <w:rPr>
          <w:sz w:val="24"/>
          <w:szCs w:val="24"/>
        </w:rPr>
        <w:t>Kolzow</w:t>
      </w:r>
      <w:proofErr w:type="spellEnd"/>
      <w:r w:rsidR="00335B87">
        <w:rPr>
          <w:sz w:val="24"/>
          <w:szCs w:val="24"/>
        </w:rPr>
        <w:t>, der Leiter der Auslandskommission des Sowjetischen Schriftstelle</w:t>
      </w:r>
      <w:r w:rsidR="00335B87">
        <w:rPr>
          <w:sz w:val="24"/>
          <w:szCs w:val="24"/>
        </w:rPr>
        <w:t>r</w:t>
      </w:r>
      <w:r w:rsidR="00335B87">
        <w:rPr>
          <w:sz w:val="24"/>
          <w:szCs w:val="24"/>
        </w:rPr>
        <w:t>verbandes</w:t>
      </w:r>
      <w:r w:rsidR="00BD7AED">
        <w:rPr>
          <w:sz w:val="24"/>
          <w:szCs w:val="24"/>
        </w:rPr>
        <w:t xml:space="preserve"> und</w:t>
      </w:r>
      <w:r w:rsidR="00335B87">
        <w:rPr>
          <w:sz w:val="24"/>
          <w:szCs w:val="24"/>
        </w:rPr>
        <w:t xml:space="preserve"> maßgebliche Initiator von Feuchtwangers Moskau-Reise, auf </w:t>
      </w:r>
      <w:r w:rsidR="004B76AA">
        <w:rPr>
          <w:sz w:val="24"/>
          <w:szCs w:val="24"/>
        </w:rPr>
        <w:t>sein</w:t>
      </w:r>
      <w:r w:rsidR="00335B87">
        <w:rPr>
          <w:sz w:val="24"/>
          <w:szCs w:val="24"/>
        </w:rPr>
        <w:t xml:space="preserve">em Weg </w:t>
      </w:r>
      <w:r w:rsidR="00335B87">
        <w:rPr>
          <w:sz w:val="24"/>
          <w:szCs w:val="24"/>
        </w:rPr>
        <w:lastRenderedPageBreak/>
        <w:t xml:space="preserve">nach Spanien </w:t>
      </w:r>
      <w:r w:rsidR="004B76AA">
        <w:rPr>
          <w:sz w:val="24"/>
          <w:szCs w:val="24"/>
        </w:rPr>
        <w:t xml:space="preserve">in </w:t>
      </w:r>
      <w:proofErr w:type="spellStart"/>
      <w:r w:rsidR="004B76AA">
        <w:rPr>
          <w:sz w:val="24"/>
          <w:szCs w:val="24"/>
        </w:rPr>
        <w:t>Sanary</w:t>
      </w:r>
      <w:proofErr w:type="spellEnd"/>
      <w:r w:rsidR="004B76AA">
        <w:rPr>
          <w:sz w:val="24"/>
          <w:szCs w:val="24"/>
        </w:rPr>
        <w:t xml:space="preserve"> </w:t>
      </w:r>
      <w:r w:rsidR="004D40B5">
        <w:rPr>
          <w:sz w:val="24"/>
          <w:szCs w:val="24"/>
        </w:rPr>
        <w:t xml:space="preserve">bei Feuchtwanger Station. </w:t>
      </w:r>
      <w:r w:rsidR="00BD7AED">
        <w:rPr>
          <w:sz w:val="24"/>
          <w:szCs w:val="24"/>
        </w:rPr>
        <w:t xml:space="preserve">Auf Anregung von </w:t>
      </w:r>
      <w:proofErr w:type="spellStart"/>
      <w:r w:rsidR="00BD7AED">
        <w:rPr>
          <w:sz w:val="24"/>
          <w:szCs w:val="24"/>
        </w:rPr>
        <w:t>Kolzow</w:t>
      </w:r>
      <w:proofErr w:type="spellEnd"/>
      <w:r w:rsidR="00BD7AED">
        <w:rPr>
          <w:sz w:val="24"/>
          <w:szCs w:val="24"/>
        </w:rPr>
        <w:t xml:space="preserve">, z.T. jedoch auch aus eigener Initiative, überarbeitet Feuchtwanger </w:t>
      </w:r>
      <w:r w:rsidR="004B76AA">
        <w:rPr>
          <w:sz w:val="24"/>
          <w:szCs w:val="24"/>
        </w:rPr>
        <w:t>daraufhin</w:t>
      </w:r>
      <w:r w:rsidR="00BD7AED">
        <w:rPr>
          <w:sz w:val="24"/>
          <w:szCs w:val="24"/>
        </w:rPr>
        <w:t xml:space="preserve"> </w:t>
      </w:r>
      <w:r w:rsidR="004D40B5">
        <w:rPr>
          <w:sz w:val="24"/>
          <w:szCs w:val="24"/>
        </w:rPr>
        <w:t>vor allem das Kapitel „Stalin und Trotzki“.</w:t>
      </w:r>
      <w:r w:rsidR="004D40B5">
        <w:rPr>
          <w:rStyle w:val="Funotenzeichen"/>
          <w:sz w:val="24"/>
          <w:szCs w:val="24"/>
        </w:rPr>
        <w:footnoteReference w:id="73"/>
      </w:r>
      <w:r w:rsidR="004D40B5">
        <w:rPr>
          <w:sz w:val="24"/>
          <w:szCs w:val="24"/>
        </w:rPr>
        <w:t xml:space="preserve"> </w:t>
      </w:r>
      <w:r w:rsidR="00BD7AED">
        <w:rPr>
          <w:sz w:val="24"/>
          <w:szCs w:val="24"/>
        </w:rPr>
        <w:t xml:space="preserve">Kurze Zeit später erscheint </w:t>
      </w:r>
      <w:r w:rsidR="004B76AA">
        <w:rPr>
          <w:sz w:val="24"/>
          <w:szCs w:val="24"/>
        </w:rPr>
        <w:t xml:space="preserve">dann </w:t>
      </w:r>
      <w:r w:rsidR="00BD7AED">
        <w:rPr>
          <w:sz w:val="24"/>
          <w:szCs w:val="24"/>
        </w:rPr>
        <w:t xml:space="preserve">im </w:t>
      </w:r>
      <w:proofErr w:type="spellStart"/>
      <w:r w:rsidR="00BD7AED">
        <w:rPr>
          <w:sz w:val="24"/>
          <w:szCs w:val="24"/>
        </w:rPr>
        <w:t>Querido</w:t>
      </w:r>
      <w:proofErr w:type="spellEnd"/>
      <w:r w:rsidR="00BD7AED">
        <w:rPr>
          <w:sz w:val="24"/>
          <w:szCs w:val="24"/>
        </w:rPr>
        <w:t xml:space="preserve"> Verlag die deutsche </w:t>
      </w:r>
      <w:r w:rsidR="004B76AA">
        <w:rPr>
          <w:sz w:val="24"/>
          <w:szCs w:val="24"/>
        </w:rPr>
        <w:t>Ersta</w:t>
      </w:r>
      <w:r w:rsidR="00BD7AED">
        <w:rPr>
          <w:sz w:val="24"/>
          <w:szCs w:val="24"/>
        </w:rPr>
        <w:t xml:space="preserve">usgabe, bereits </w:t>
      </w:r>
      <w:r w:rsidR="00C82676">
        <w:rPr>
          <w:sz w:val="24"/>
          <w:szCs w:val="24"/>
        </w:rPr>
        <w:t xml:space="preserve">Ende November 1937 </w:t>
      </w:r>
      <w:r w:rsidR="004B76AA">
        <w:rPr>
          <w:sz w:val="24"/>
          <w:szCs w:val="24"/>
        </w:rPr>
        <w:t>eine</w:t>
      </w:r>
      <w:r w:rsidR="00C82676">
        <w:rPr>
          <w:sz w:val="24"/>
          <w:szCs w:val="24"/>
        </w:rPr>
        <w:t xml:space="preserve"> russische Ausgabe</w:t>
      </w:r>
      <w:r w:rsidR="004B76AA">
        <w:rPr>
          <w:sz w:val="24"/>
          <w:szCs w:val="24"/>
        </w:rPr>
        <w:t xml:space="preserve"> von </w:t>
      </w:r>
      <w:r w:rsidR="004B76AA">
        <w:rPr>
          <w:i/>
          <w:sz w:val="24"/>
          <w:szCs w:val="24"/>
        </w:rPr>
        <w:t>Moskau 1937</w:t>
      </w:r>
      <w:r w:rsidR="00C82676">
        <w:rPr>
          <w:sz w:val="24"/>
          <w:szCs w:val="24"/>
        </w:rPr>
        <w:t xml:space="preserve">. </w:t>
      </w:r>
    </w:p>
    <w:p w:rsidR="00C82676" w:rsidRDefault="00C82676" w:rsidP="00E41506">
      <w:pPr>
        <w:spacing w:after="0"/>
        <w:ind w:firstLine="708"/>
        <w:jc w:val="both"/>
        <w:rPr>
          <w:sz w:val="24"/>
          <w:szCs w:val="24"/>
        </w:rPr>
      </w:pPr>
      <w:r>
        <w:rPr>
          <w:sz w:val="24"/>
          <w:szCs w:val="24"/>
        </w:rPr>
        <w:t xml:space="preserve">Die </w:t>
      </w:r>
      <w:r w:rsidR="00BD7AED">
        <w:rPr>
          <w:sz w:val="24"/>
          <w:szCs w:val="24"/>
        </w:rPr>
        <w:t xml:space="preserve">– wenn auch nur geringfügige – </w:t>
      </w:r>
      <w:r w:rsidR="004B76AA">
        <w:rPr>
          <w:sz w:val="24"/>
          <w:szCs w:val="24"/>
        </w:rPr>
        <w:t xml:space="preserve">zeitliche </w:t>
      </w:r>
      <w:r w:rsidR="00BD7AED">
        <w:rPr>
          <w:sz w:val="24"/>
          <w:szCs w:val="24"/>
        </w:rPr>
        <w:t>V</w:t>
      </w:r>
      <w:r>
        <w:rPr>
          <w:sz w:val="24"/>
          <w:szCs w:val="24"/>
        </w:rPr>
        <w:t xml:space="preserve">erzögerung </w:t>
      </w:r>
      <w:r w:rsidR="004B76AA">
        <w:rPr>
          <w:sz w:val="24"/>
          <w:szCs w:val="24"/>
        </w:rPr>
        <w:t xml:space="preserve">der Moskauer Ausgabe </w:t>
      </w:r>
      <w:r>
        <w:rPr>
          <w:sz w:val="24"/>
          <w:szCs w:val="24"/>
        </w:rPr>
        <w:t xml:space="preserve">hat, wie aus </w:t>
      </w:r>
      <w:r w:rsidR="004B76AA">
        <w:rPr>
          <w:sz w:val="24"/>
          <w:szCs w:val="24"/>
        </w:rPr>
        <w:t>ein</w:t>
      </w:r>
      <w:r>
        <w:rPr>
          <w:sz w:val="24"/>
          <w:szCs w:val="24"/>
        </w:rPr>
        <w:t xml:space="preserve">em redaktionellen </w:t>
      </w:r>
      <w:r w:rsidR="00EE4CE1">
        <w:rPr>
          <w:sz w:val="24"/>
          <w:szCs w:val="24"/>
        </w:rPr>
        <w:t>Vorwort</w:t>
      </w:r>
      <w:r>
        <w:rPr>
          <w:sz w:val="24"/>
          <w:szCs w:val="24"/>
        </w:rPr>
        <w:t xml:space="preserve"> erkennbar wird, </w:t>
      </w:r>
      <w:r w:rsidR="00BD7AED">
        <w:rPr>
          <w:sz w:val="24"/>
          <w:szCs w:val="24"/>
        </w:rPr>
        <w:t xml:space="preserve">politische </w:t>
      </w:r>
      <w:r>
        <w:rPr>
          <w:sz w:val="24"/>
          <w:szCs w:val="24"/>
        </w:rPr>
        <w:t xml:space="preserve">Gründe. Das Buch ist </w:t>
      </w:r>
      <w:r w:rsidR="00A3492C">
        <w:rPr>
          <w:sz w:val="24"/>
          <w:szCs w:val="24"/>
        </w:rPr>
        <w:t xml:space="preserve">den Verantwortlichen </w:t>
      </w:r>
      <w:r>
        <w:rPr>
          <w:sz w:val="24"/>
          <w:szCs w:val="24"/>
        </w:rPr>
        <w:t xml:space="preserve">nicht </w:t>
      </w:r>
      <w:r w:rsidR="00A3492C">
        <w:rPr>
          <w:sz w:val="24"/>
          <w:szCs w:val="24"/>
        </w:rPr>
        <w:t>unbedingt</w:t>
      </w:r>
      <w:r>
        <w:rPr>
          <w:sz w:val="24"/>
          <w:szCs w:val="24"/>
        </w:rPr>
        <w:t xml:space="preserve"> genehm. Es heißt hier</w:t>
      </w:r>
      <w:r w:rsidR="00EE4CE1">
        <w:rPr>
          <w:sz w:val="24"/>
          <w:szCs w:val="24"/>
        </w:rPr>
        <w:t>:</w:t>
      </w:r>
    </w:p>
    <w:p w:rsidR="00EE4CE1" w:rsidRDefault="00EE4CE1" w:rsidP="00E41506">
      <w:pPr>
        <w:spacing w:after="0"/>
        <w:ind w:left="1134"/>
        <w:jc w:val="both"/>
        <w:rPr>
          <w:sz w:val="24"/>
          <w:szCs w:val="24"/>
        </w:rPr>
      </w:pPr>
      <w:r>
        <w:rPr>
          <w:sz w:val="24"/>
          <w:szCs w:val="24"/>
        </w:rPr>
        <w:t>„Das Büchlein enthält eine Reihe von Fehlern</w:t>
      </w:r>
      <w:r w:rsidR="00A3492C">
        <w:rPr>
          <w:sz w:val="24"/>
          <w:szCs w:val="24"/>
        </w:rPr>
        <w:t xml:space="preserve"> [!]</w:t>
      </w:r>
      <w:r>
        <w:rPr>
          <w:sz w:val="24"/>
          <w:szCs w:val="24"/>
        </w:rPr>
        <w:t xml:space="preserve"> und falschen Einschätzungen</w:t>
      </w:r>
      <w:r w:rsidR="00A3492C">
        <w:rPr>
          <w:sz w:val="24"/>
          <w:szCs w:val="24"/>
        </w:rPr>
        <w:t xml:space="preserve"> [!]</w:t>
      </w:r>
      <w:r>
        <w:rPr>
          <w:sz w:val="24"/>
          <w:szCs w:val="24"/>
        </w:rPr>
        <w:t>. In diesen Fehlern findet sich der sowjetische Leser leicht zurecht. Dennoch ist das Büchlein von Interesse und Bedeutung, als Versuch, die Sowjetunion ehrlich und gewissenhaft zu studieren.“</w:t>
      </w:r>
      <w:r w:rsidR="00C82676">
        <w:rPr>
          <w:rStyle w:val="Funotenzeichen"/>
          <w:sz w:val="24"/>
          <w:szCs w:val="24"/>
        </w:rPr>
        <w:footnoteReference w:id="74"/>
      </w:r>
      <w:r>
        <w:rPr>
          <w:sz w:val="24"/>
          <w:szCs w:val="24"/>
        </w:rPr>
        <w:t xml:space="preserve"> </w:t>
      </w:r>
    </w:p>
    <w:p w:rsidR="00EE4CE1" w:rsidRDefault="00D40BD6" w:rsidP="00E41506">
      <w:pPr>
        <w:spacing w:after="0"/>
        <w:jc w:val="both"/>
        <w:rPr>
          <w:sz w:val="24"/>
          <w:szCs w:val="24"/>
        </w:rPr>
      </w:pPr>
      <w:r>
        <w:rPr>
          <w:sz w:val="24"/>
          <w:szCs w:val="24"/>
        </w:rPr>
        <w:t>Das Buch ersche</w:t>
      </w:r>
      <w:r w:rsidR="00BD7AED">
        <w:rPr>
          <w:sz w:val="24"/>
          <w:szCs w:val="24"/>
        </w:rPr>
        <w:t>i</w:t>
      </w:r>
      <w:r>
        <w:rPr>
          <w:sz w:val="24"/>
          <w:szCs w:val="24"/>
        </w:rPr>
        <w:t>n</w:t>
      </w:r>
      <w:r w:rsidR="00BD7AED">
        <w:rPr>
          <w:sz w:val="24"/>
          <w:szCs w:val="24"/>
        </w:rPr>
        <w:t>t</w:t>
      </w:r>
      <w:r>
        <w:rPr>
          <w:sz w:val="24"/>
          <w:szCs w:val="24"/>
        </w:rPr>
        <w:t xml:space="preserve"> in Moskau mit 200 000 Exemplaren Auflage</w:t>
      </w:r>
      <w:r w:rsidR="00BD7AED">
        <w:rPr>
          <w:sz w:val="24"/>
          <w:szCs w:val="24"/>
        </w:rPr>
        <w:t xml:space="preserve">; es ist </w:t>
      </w:r>
      <w:r>
        <w:rPr>
          <w:sz w:val="24"/>
          <w:szCs w:val="24"/>
        </w:rPr>
        <w:t>Stadtgespräch – und verschw</w:t>
      </w:r>
      <w:r w:rsidR="008F66B1">
        <w:rPr>
          <w:sz w:val="24"/>
          <w:szCs w:val="24"/>
        </w:rPr>
        <w:t>i</w:t>
      </w:r>
      <w:r>
        <w:rPr>
          <w:sz w:val="24"/>
          <w:szCs w:val="24"/>
        </w:rPr>
        <w:t>nd</w:t>
      </w:r>
      <w:r w:rsidR="008F66B1">
        <w:rPr>
          <w:sz w:val="24"/>
          <w:szCs w:val="24"/>
        </w:rPr>
        <w:t>et</w:t>
      </w:r>
      <w:r>
        <w:rPr>
          <w:sz w:val="24"/>
          <w:szCs w:val="24"/>
        </w:rPr>
        <w:t xml:space="preserve"> dann ebenso schnell aus der Öffentlichkeit.</w:t>
      </w:r>
      <w:r>
        <w:rPr>
          <w:rStyle w:val="Funotenzeichen"/>
          <w:sz w:val="24"/>
          <w:szCs w:val="24"/>
        </w:rPr>
        <w:footnoteReference w:id="75"/>
      </w:r>
      <w:r>
        <w:rPr>
          <w:sz w:val="24"/>
          <w:szCs w:val="24"/>
        </w:rPr>
        <w:t xml:space="preserve"> </w:t>
      </w:r>
      <w:r w:rsidR="008F66B1">
        <w:rPr>
          <w:sz w:val="24"/>
          <w:szCs w:val="24"/>
        </w:rPr>
        <w:t xml:space="preserve">Auf die weitere Entwicklung, also den Dritten Moskauer Prozess, geht Feuchtwanger offenbar nicht mehr ein. </w:t>
      </w:r>
      <w:r>
        <w:rPr>
          <w:sz w:val="24"/>
          <w:szCs w:val="24"/>
        </w:rPr>
        <w:t>Über die Verha</w:t>
      </w:r>
      <w:r>
        <w:rPr>
          <w:sz w:val="24"/>
          <w:szCs w:val="24"/>
        </w:rPr>
        <w:t>f</w:t>
      </w:r>
      <w:r>
        <w:rPr>
          <w:sz w:val="24"/>
          <w:szCs w:val="24"/>
        </w:rPr>
        <w:t xml:space="preserve">tung </w:t>
      </w:r>
      <w:r w:rsidR="008F66B1">
        <w:rPr>
          <w:sz w:val="24"/>
          <w:szCs w:val="24"/>
        </w:rPr>
        <w:t xml:space="preserve">von </w:t>
      </w:r>
      <w:r>
        <w:rPr>
          <w:sz w:val="24"/>
          <w:szCs w:val="24"/>
        </w:rPr>
        <w:t xml:space="preserve">Michail </w:t>
      </w:r>
      <w:proofErr w:type="spellStart"/>
      <w:r>
        <w:rPr>
          <w:sz w:val="24"/>
          <w:szCs w:val="24"/>
        </w:rPr>
        <w:t>Kolzow</w:t>
      </w:r>
      <w:proofErr w:type="spellEnd"/>
      <w:r>
        <w:rPr>
          <w:sz w:val="24"/>
          <w:szCs w:val="24"/>
        </w:rPr>
        <w:t xml:space="preserve"> (12. Dezember 1938)</w:t>
      </w:r>
      <w:r w:rsidR="008F66B1">
        <w:rPr>
          <w:sz w:val="24"/>
          <w:szCs w:val="24"/>
        </w:rPr>
        <w:t>:</w:t>
      </w:r>
      <w:r>
        <w:rPr>
          <w:sz w:val="24"/>
          <w:szCs w:val="24"/>
        </w:rPr>
        <w:t xml:space="preserve"> „für Feuchtwanger immerhin über Jahre zentrale Vertrauens- und Kontaktperson zu Russland“ </w:t>
      </w:r>
      <w:r w:rsidR="008F66B1">
        <w:rPr>
          <w:sz w:val="24"/>
          <w:szCs w:val="24"/>
        </w:rPr>
        <w:t xml:space="preserve">– so das Urteil von Anne Hartmann –, </w:t>
      </w:r>
      <w:r>
        <w:rPr>
          <w:sz w:val="24"/>
          <w:szCs w:val="24"/>
        </w:rPr>
        <w:t>g</w:t>
      </w:r>
      <w:r w:rsidR="008F66B1">
        <w:rPr>
          <w:sz w:val="24"/>
          <w:szCs w:val="24"/>
        </w:rPr>
        <w:t>eht</w:t>
      </w:r>
      <w:r>
        <w:rPr>
          <w:sz w:val="24"/>
          <w:szCs w:val="24"/>
        </w:rPr>
        <w:t xml:space="preserve"> Feuchtwanger anscheinend „ungerührt hinweg. Kein Zeichen eines Protests oder einer Nachfr</w:t>
      </w:r>
      <w:r w:rsidR="00140C9B">
        <w:rPr>
          <w:sz w:val="24"/>
          <w:szCs w:val="24"/>
        </w:rPr>
        <w:t>a</w:t>
      </w:r>
      <w:r>
        <w:rPr>
          <w:sz w:val="24"/>
          <w:szCs w:val="24"/>
        </w:rPr>
        <w:t>ge, nicht einmal eines nachdenklichen intimen Kommentars</w:t>
      </w:r>
      <w:r w:rsidR="00140C9B">
        <w:rPr>
          <w:sz w:val="24"/>
          <w:szCs w:val="24"/>
        </w:rPr>
        <w:t>.“</w:t>
      </w:r>
      <w:r w:rsidR="00140C9B">
        <w:rPr>
          <w:rStyle w:val="Funotenzeichen"/>
          <w:sz w:val="24"/>
          <w:szCs w:val="24"/>
        </w:rPr>
        <w:footnoteReference w:id="76"/>
      </w:r>
      <w:r>
        <w:rPr>
          <w:sz w:val="24"/>
          <w:szCs w:val="24"/>
        </w:rPr>
        <w:t xml:space="preserve"> </w:t>
      </w:r>
    </w:p>
    <w:p w:rsidR="00140C9B" w:rsidRPr="001A069A" w:rsidRDefault="00140C9B" w:rsidP="00E41506">
      <w:pPr>
        <w:spacing w:after="0"/>
        <w:ind w:firstLine="708"/>
        <w:jc w:val="both"/>
        <w:rPr>
          <w:sz w:val="24"/>
          <w:szCs w:val="24"/>
        </w:rPr>
      </w:pPr>
    </w:p>
    <w:p w:rsidR="00A95AD9" w:rsidRDefault="00A95AD9" w:rsidP="00E41506">
      <w:pPr>
        <w:spacing w:after="0"/>
        <w:jc w:val="both"/>
        <w:rPr>
          <w:sz w:val="24"/>
          <w:szCs w:val="24"/>
        </w:rPr>
      </w:pPr>
      <w:r>
        <w:rPr>
          <w:sz w:val="24"/>
          <w:szCs w:val="24"/>
        </w:rPr>
        <w:tab/>
        <w:t>Das Paradoxon von Feuchtwangers Russland-Buch besteht</w:t>
      </w:r>
      <w:r w:rsidR="008F66B1" w:rsidRPr="008F66B1">
        <w:rPr>
          <w:sz w:val="24"/>
          <w:szCs w:val="24"/>
        </w:rPr>
        <w:t xml:space="preserve"> </w:t>
      </w:r>
      <w:r w:rsidR="008F66B1">
        <w:rPr>
          <w:sz w:val="24"/>
          <w:szCs w:val="24"/>
        </w:rPr>
        <w:t>darin, dass Feuchtwangers Haltung gegenüber den aktuellen politischen Geschehen wie dem sowjetischen Alltagsleben</w:t>
      </w:r>
      <w:r w:rsidR="008F66B1" w:rsidRPr="008F66B1">
        <w:rPr>
          <w:sz w:val="24"/>
          <w:szCs w:val="24"/>
        </w:rPr>
        <w:t xml:space="preserve"> </w:t>
      </w:r>
      <w:r w:rsidR="00A3492C">
        <w:rPr>
          <w:sz w:val="24"/>
          <w:szCs w:val="24"/>
        </w:rPr>
        <w:t xml:space="preserve">offenbar </w:t>
      </w:r>
      <w:r w:rsidR="008F66B1" w:rsidRPr="00A3492C">
        <w:rPr>
          <w:i/>
          <w:sz w:val="24"/>
          <w:szCs w:val="24"/>
        </w:rPr>
        <w:t>in vieler Hinsicht der André Gides ähnelt</w:t>
      </w:r>
      <w:r w:rsidR="00A3492C" w:rsidRPr="00A3492C">
        <w:rPr>
          <w:i/>
          <w:sz w:val="24"/>
          <w:szCs w:val="24"/>
        </w:rPr>
        <w:t>e</w:t>
      </w:r>
      <w:r w:rsidR="008F66B1">
        <w:rPr>
          <w:sz w:val="24"/>
          <w:szCs w:val="24"/>
        </w:rPr>
        <w:t>. Darauf deuten jedenfalls die Belege hin</w:t>
      </w:r>
      <w:r>
        <w:rPr>
          <w:sz w:val="24"/>
          <w:szCs w:val="24"/>
        </w:rPr>
        <w:t xml:space="preserve">, </w:t>
      </w:r>
      <w:r w:rsidR="008F66B1">
        <w:rPr>
          <w:sz w:val="24"/>
          <w:szCs w:val="24"/>
        </w:rPr>
        <w:t>d</w:t>
      </w:r>
      <w:r>
        <w:rPr>
          <w:sz w:val="24"/>
          <w:szCs w:val="24"/>
        </w:rPr>
        <w:t>ie Anne Hartmann</w:t>
      </w:r>
      <w:r w:rsidR="00F15D13">
        <w:rPr>
          <w:sz w:val="24"/>
          <w:szCs w:val="24"/>
        </w:rPr>
        <w:t xml:space="preserve"> </w:t>
      </w:r>
      <w:r w:rsidR="00A3492C">
        <w:rPr>
          <w:sz w:val="24"/>
          <w:szCs w:val="24"/>
        </w:rPr>
        <w:t>bei</w:t>
      </w:r>
      <w:r w:rsidR="00F15D13">
        <w:rPr>
          <w:sz w:val="24"/>
          <w:szCs w:val="24"/>
        </w:rPr>
        <w:t xml:space="preserve"> ihrer</w:t>
      </w:r>
      <w:r>
        <w:rPr>
          <w:sz w:val="24"/>
          <w:szCs w:val="24"/>
        </w:rPr>
        <w:t xml:space="preserve"> akribische</w:t>
      </w:r>
      <w:r w:rsidR="00F15D13">
        <w:rPr>
          <w:sz w:val="24"/>
          <w:szCs w:val="24"/>
        </w:rPr>
        <w:t>n</w:t>
      </w:r>
      <w:r>
        <w:rPr>
          <w:sz w:val="24"/>
          <w:szCs w:val="24"/>
        </w:rPr>
        <w:t xml:space="preserve"> Untersuchung der Moskauer Quellen</w:t>
      </w:r>
      <w:r w:rsidR="008F66B1">
        <w:rPr>
          <w:sz w:val="24"/>
          <w:szCs w:val="24"/>
        </w:rPr>
        <w:t>,</w:t>
      </w:r>
      <w:r>
        <w:rPr>
          <w:sz w:val="24"/>
          <w:szCs w:val="24"/>
        </w:rPr>
        <w:t xml:space="preserve"> von Feuch</w:t>
      </w:r>
      <w:r>
        <w:rPr>
          <w:sz w:val="24"/>
          <w:szCs w:val="24"/>
        </w:rPr>
        <w:t>t</w:t>
      </w:r>
      <w:r>
        <w:rPr>
          <w:sz w:val="24"/>
          <w:szCs w:val="24"/>
        </w:rPr>
        <w:t xml:space="preserve">wangers Tagebuch </w:t>
      </w:r>
      <w:r w:rsidR="00140C9B">
        <w:rPr>
          <w:sz w:val="24"/>
          <w:szCs w:val="24"/>
        </w:rPr>
        <w:t xml:space="preserve">und seiner Korrespondenz </w:t>
      </w:r>
      <w:r w:rsidR="00F15D13">
        <w:rPr>
          <w:sz w:val="24"/>
          <w:szCs w:val="24"/>
        </w:rPr>
        <w:t>zusammengestellt hat.</w:t>
      </w:r>
      <w:r>
        <w:rPr>
          <w:sz w:val="24"/>
          <w:szCs w:val="24"/>
        </w:rPr>
        <w:t xml:space="preserve"> </w:t>
      </w:r>
      <w:r w:rsidR="00F738E1">
        <w:rPr>
          <w:sz w:val="24"/>
          <w:szCs w:val="24"/>
        </w:rPr>
        <w:t xml:space="preserve">So schreibt </w:t>
      </w:r>
      <w:r w:rsidR="00E9526F">
        <w:rPr>
          <w:sz w:val="24"/>
          <w:szCs w:val="24"/>
        </w:rPr>
        <w:t>Feuchtwa</w:t>
      </w:r>
      <w:r w:rsidR="00E9526F">
        <w:rPr>
          <w:sz w:val="24"/>
          <w:szCs w:val="24"/>
        </w:rPr>
        <w:t>n</w:t>
      </w:r>
      <w:r w:rsidR="00E9526F">
        <w:rPr>
          <w:sz w:val="24"/>
          <w:szCs w:val="24"/>
        </w:rPr>
        <w:t>ge</w:t>
      </w:r>
      <w:r w:rsidR="00F738E1">
        <w:rPr>
          <w:sz w:val="24"/>
          <w:szCs w:val="24"/>
        </w:rPr>
        <w:t xml:space="preserve">r </w:t>
      </w:r>
      <w:r w:rsidR="00AD5200">
        <w:rPr>
          <w:sz w:val="24"/>
          <w:szCs w:val="24"/>
        </w:rPr>
        <w:t>kurz vor seine</w:t>
      </w:r>
      <w:r w:rsidR="00A3492C">
        <w:rPr>
          <w:sz w:val="24"/>
          <w:szCs w:val="24"/>
        </w:rPr>
        <w:t>m Reiseantritt</w:t>
      </w:r>
      <w:r w:rsidR="00AD5200">
        <w:rPr>
          <w:sz w:val="24"/>
          <w:szCs w:val="24"/>
        </w:rPr>
        <w:t xml:space="preserve"> </w:t>
      </w:r>
      <w:r w:rsidR="00F738E1">
        <w:rPr>
          <w:sz w:val="24"/>
          <w:szCs w:val="24"/>
        </w:rPr>
        <w:t>an seine Frau:</w:t>
      </w:r>
    </w:p>
    <w:p w:rsidR="00F738E1" w:rsidRPr="002B245F" w:rsidRDefault="00F738E1" w:rsidP="00E41506">
      <w:pPr>
        <w:spacing w:after="0"/>
        <w:ind w:left="1134"/>
        <w:jc w:val="both"/>
        <w:rPr>
          <w:sz w:val="24"/>
          <w:szCs w:val="24"/>
        </w:rPr>
      </w:pPr>
      <w:r>
        <w:rPr>
          <w:sz w:val="24"/>
          <w:szCs w:val="24"/>
        </w:rPr>
        <w:t xml:space="preserve">„in </w:t>
      </w:r>
      <w:proofErr w:type="spellStart"/>
      <w:r>
        <w:rPr>
          <w:sz w:val="24"/>
          <w:szCs w:val="24"/>
        </w:rPr>
        <w:t>russland</w:t>
      </w:r>
      <w:proofErr w:type="spellEnd"/>
      <w:r>
        <w:rPr>
          <w:sz w:val="24"/>
          <w:szCs w:val="24"/>
        </w:rPr>
        <w:t xml:space="preserve"> sind viele neue </w:t>
      </w:r>
      <w:proofErr w:type="spellStart"/>
      <w:r>
        <w:rPr>
          <w:sz w:val="24"/>
          <w:szCs w:val="24"/>
        </w:rPr>
        <w:t>leute</w:t>
      </w:r>
      <w:proofErr w:type="spellEnd"/>
      <w:r>
        <w:rPr>
          <w:sz w:val="24"/>
          <w:szCs w:val="24"/>
        </w:rPr>
        <w:t xml:space="preserve"> verhaftet worden, z b die </w:t>
      </w:r>
      <w:proofErr w:type="spellStart"/>
      <w:r>
        <w:rPr>
          <w:sz w:val="24"/>
          <w:szCs w:val="24"/>
        </w:rPr>
        <w:t>carola</w:t>
      </w:r>
      <w:proofErr w:type="spellEnd"/>
      <w:r>
        <w:rPr>
          <w:sz w:val="24"/>
          <w:szCs w:val="24"/>
        </w:rPr>
        <w:t xml:space="preserve"> </w:t>
      </w:r>
      <w:proofErr w:type="spellStart"/>
      <w:r>
        <w:rPr>
          <w:sz w:val="24"/>
          <w:szCs w:val="24"/>
        </w:rPr>
        <w:t>neher</w:t>
      </w:r>
      <w:proofErr w:type="spellEnd"/>
      <w:r>
        <w:rPr>
          <w:sz w:val="24"/>
          <w:szCs w:val="24"/>
        </w:rPr>
        <w:t xml:space="preserve"> (die aber ausgesprochene </w:t>
      </w:r>
      <w:proofErr w:type="spellStart"/>
      <w:r>
        <w:rPr>
          <w:sz w:val="24"/>
          <w:szCs w:val="24"/>
        </w:rPr>
        <w:t>trotzkistin</w:t>
      </w:r>
      <w:proofErr w:type="spellEnd"/>
      <w:r>
        <w:rPr>
          <w:sz w:val="24"/>
          <w:szCs w:val="24"/>
        </w:rPr>
        <w:t xml:space="preserve"> ist)“.</w:t>
      </w:r>
      <w:r>
        <w:rPr>
          <w:rStyle w:val="Funotenzeichen"/>
          <w:sz w:val="24"/>
          <w:szCs w:val="24"/>
        </w:rPr>
        <w:footnoteReference w:id="77"/>
      </w:r>
    </w:p>
    <w:p w:rsidR="00AD5200" w:rsidRDefault="00E9526F" w:rsidP="00E41506">
      <w:pPr>
        <w:spacing w:after="0"/>
        <w:jc w:val="both"/>
        <w:rPr>
          <w:sz w:val="24"/>
          <w:szCs w:val="24"/>
        </w:rPr>
      </w:pPr>
      <w:r>
        <w:rPr>
          <w:sz w:val="24"/>
          <w:szCs w:val="24"/>
        </w:rPr>
        <w:t xml:space="preserve">Feuchtwanger </w:t>
      </w:r>
      <w:r w:rsidR="00AD5200">
        <w:rPr>
          <w:sz w:val="24"/>
          <w:szCs w:val="24"/>
        </w:rPr>
        <w:t xml:space="preserve">ist über die Situation </w:t>
      </w:r>
      <w:r w:rsidR="00A3492C">
        <w:rPr>
          <w:sz w:val="24"/>
          <w:szCs w:val="24"/>
        </w:rPr>
        <w:t>also</w:t>
      </w:r>
      <w:r w:rsidR="00AD5200">
        <w:rPr>
          <w:sz w:val="24"/>
          <w:szCs w:val="24"/>
        </w:rPr>
        <w:t xml:space="preserve"> informiert, und er beurteilt die Lage kritisch. In an sich unmissverständlicher Form</w:t>
      </w:r>
      <w:r w:rsidR="00F15D13">
        <w:rPr>
          <w:sz w:val="24"/>
          <w:szCs w:val="24"/>
        </w:rPr>
        <w:t xml:space="preserve"> weist</w:t>
      </w:r>
      <w:r w:rsidR="00AD5200">
        <w:rPr>
          <w:sz w:val="24"/>
          <w:szCs w:val="24"/>
        </w:rPr>
        <w:t xml:space="preserve"> er gegenüber</w:t>
      </w:r>
      <w:r>
        <w:rPr>
          <w:sz w:val="24"/>
          <w:szCs w:val="24"/>
        </w:rPr>
        <w:t xml:space="preserve"> seinen Moskauer Gesprächspartnern</w:t>
      </w:r>
      <w:r w:rsidR="00F15D13">
        <w:rPr>
          <w:sz w:val="24"/>
          <w:szCs w:val="24"/>
        </w:rPr>
        <w:t xml:space="preserve"> d</w:t>
      </w:r>
      <w:r w:rsidR="00F15D13">
        <w:rPr>
          <w:sz w:val="24"/>
          <w:szCs w:val="24"/>
        </w:rPr>
        <w:t>a</w:t>
      </w:r>
      <w:r w:rsidR="00F15D13">
        <w:rPr>
          <w:sz w:val="24"/>
          <w:szCs w:val="24"/>
        </w:rPr>
        <w:t>rauf hin</w:t>
      </w:r>
      <w:r>
        <w:rPr>
          <w:sz w:val="24"/>
          <w:szCs w:val="24"/>
        </w:rPr>
        <w:t xml:space="preserve">, </w:t>
      </w:r>
      <w:r w:rsidR="00F15D13">
        <w:rPr>
          <w:sz w:val="24"/>
          <w:szCs w:val="24"/>
        </w:rPr>
        <w:t xml:space="preserve">dass </w:t>
      </w:r>
      <w:r>
        <w:rPr>
          <w:sz w:val="24"/>
          <w:szCs w:val="24"/>
        </w:rPr>
        <w:t>d</w:t>
      </w:r>
      <w:r w:rsidR="00F738E1">
        <w:rPr>
          <w:sz w:val="24"/>
          <w:szCs w:val="24"/>
        </w:rPr>
        <w:t xml:space="preserve">er erste Schauprozess der Sowjetunion </w:t>
      </w:r>
      <w:r w:rsidR="00A3492C">
        <w:rPr>
          <w:sz w:val="24"/>
          <w:szCs w:val="24"/>
        </w:rPr>
        <w:t xml:space="preserve">im Westen </w:t>
      </w:r>
      <w:r w:rsidR="00F738E1">
        <w:rPr>
          <w:sz w:val="24"/>
          <w:szCs w:val="24"/>
        </w:rPr>
        <w:t>„</w:t>
      </w:r>
      <w:r>
        <w:rPr>
          <w:sz w:val="24"/>
          <w:szCs w:val="24"/>
        </w:rPr>
        <w:t>‚</w:t>
      </w:r>
      <w:r w:rsidR="00F738E1">
        <w:rPr>
          <w:sz w:val="24"/>
          <w:szCs w:val="24"/>
        </w:rPr>
        <w:t>zwei Drittel ihrer Anh</w:t>
      </w:r>
      <w:r w:rsidR="00F738E1">
        <w:rPr>
          <w:sz w:val="24"/>
          <w:szCs w:val="24"/>
        </w:rPr>
        <w:t>ä</w:t>
      </w:r>
      <w:r w:rsidR="00F738E1">
        <w:rPr>
          <w:sz w:val="24"/>
          <w:szCs w:val="24"/>
        </w:rPr>
        <w:t>nger gekostet</w:t>
      </w:r>
      <w:r>
        <w:rPr>
          <w:sz w:val="24"/>
          <w:szCs w:val="24"/>
        </w:rPr>
        <w:t>‘</w:t>
      </w:r>
      <w:r w:rsidR="00F15D13">
        <w:rPr>
          <w:sz w:val="24"/>
          <w:szCs w:val="24"/>
        </w:rPr>
        <w:t xml:space="preserve"> [habe]</w:t>
      </w:r>
      <w:r w:rsidR="00F738E1">
        <w:rPr>
          <w:sz w:val="24"/>
          <w:szCs w:val="24"/>
        </w:rPr>
        <w:t xml:space="preserve">. Ihn beunruhige, </w:t>
      </w:r>
      <w:r>
        <w:rPr>
          <w:sz w:val="24"/>
          <w:szCs w:val="24"/>
        </w:rPr>
        <w:t>‚</w:t>
      </w:r>
      <w:r w:rsidR="00F738E1">
        <w:rPr>
          <w:sz w:val="24"/>
          <w:szCs w:val="24"/>
        </w:rPr>
        <w:t>warum die Angeklagten solche Verbrec</w:t>
      </w:r>
      <w:r>
        <w:rPr>
          <w:sz w:val="24"/>
          <w:szCs w:val="24"/>
        </w:rPr>
        <w:t>h</w:t>
      </w:r>
      <w:r w:rsidR="00F738E1">
        <w:rPr>
          <w:sz w:val="24"/>
          <w:szCs w:val="24"/>
        </w:rPr>
        <w:t>en begangen haben</w:t>
      </w:r>
      <w:r>
        <w:rPr>
          <w:sz w:val="24"/>
          <w:szCs w:val="24"/>
        </w:rPr>
        <w:t>‘</w:t>
      </w:r>
      <w:r w:rsidR="00F738E1">
        <w:rPr>
          <w:sz w:val="24"/>
          <w:szCs w:val="24"/>
        </w:rPr>
        <w:t xml:space="preserve">, </w:t>
      </w:r>
      <w:r>
        <w:rPr>
          <w:sz w:val="24"/>
          <w:szCs w:val="24"/>
        </w:rPr>
        <w:t>‚warum alle Angeklagten alles gestehen‘, ‚warum außer dem Geständnis der Ang</w:t>
      </w:r>
      <w:r>
        <w:rPr>
          <w:sz w:val="24"/>
          <w:szCs w:val="24"/>
        </w:rPr>
        <w:t>e</w:t>
      </w:r>
      <w:r>
        <w:rPr>
          <w:sz w:val="24"/>
          <w:szCs w:val="24"/>
        </w:rPr>
        <w:t>klagten keine Beweise vorgelegt‘ und ‚derart harte Strafen gegen politische Gegner‘ verhängt wurden, von denen seit ihrer Inhaftierung dem sowjetischen Regime ‚keine Gefahr‘ mehr drohe.“</w:t>
      </w:r>
      <w:r>
        <w:rPr>
          <w:rStyle w:val="Funotenzeichen"/>
          <w:sz w:val="24"/>
          <w:szCs w:val="24"/>
        </w:rPr>
        <w:footnoteReference w:id="78"/>
      </w:r>
      <w:r w:rsidR="008E3E09">
        <w:rPr>
          <w:sz w:val="24"/>
          <w:szCs w:val="24"/>
        </w:rPr>
        <w:t xml:space="preserve"> Feuchtwangers Dolmetscher</w:t>
      </w:r>
      <w:r w:rsidR="00F270A3">
        <w:rPr>
          <w:sz w:val="24"/>
          <w:szCs w:val="24"/>
        </w:rPr>
        <w:t xml:space="preserve">in berichtet </w:t>
      </w:r>
      <w:r w:rsidR="00A3492C">
        <w:rPr>
          <w:sz w:val="24"/>
          <w:szCs w:val="24"/>
        </w:rPr>
        <w:t xml:space="preserve">außerdem </w:t>
      </w:r>
      <w:r w:rsidR="00F270A3">
        <w:rPr>
          <w:sz w:val="24"/>
          <w:szCs w:val="24"/>
        </w:rPr>
        <w:t>in ihren Rapporten, dass Feuch</w:t>
      </w:r>
      <w:r w:rsidR="00F270A3">
        <w:rPr>
          <w:sz w:val="24"/>
          <w:szCs w:val="24"/>
        </w:rPr>
        <w:t>t</w:t>
      </w:r>
      <w:r w:rsidR="00F270A3">
        <w:rPr>
          <w:sz w:val="24"/>
          <w:szCs w:val="24"/>
        </w:rPr>
        <w:t xml:space="preserve">wanger kein „irgendwie geartetes </w:t>
      </w:r>
      <w:r w:rsidR="00F15D13">
        <w:rPr>
          <w:sz w:val="24"/>
          <w:szCs w:val="24"/>
        </w:rPr>
        <w:t xml:space="preserve">[positives] </w:t>
      </w:r>
      <w:r w:rsidR="00F270A3">
        <w:rPr>
          <w:sz w:val="24"/>
          <w:szCs w:val="24"/>
        </w:rPr>
        <w:t>Interesse für das Leben in der UdSSR</w:t>
      </w:r>
      <w:r w:rsidR="00A3492C">
        <w:rPr>
          <w:sz w:val="24"/>
          <w:szCs w:val="24"/>
        </w:rPr>
        <w:t xml:space="preserve"> [!]</w:t>
      </w:r>
      <w:r w:rsidR="00F270A3">
        <w:rPr>
          <w:sz w:val="24"/>
          <w:szCs w:val="24"/>
        </w:rPr>
        <w:t xml:space="preserve">, für unseren Aufbau und die Kunst“ an den Tag lege. Er mache </w:t>
      </w:r>
      <w:r w:rsidR="00F15D13">
        <w:rPr>
          <w:sz w:val="24"/>
          <w:szCs w:val="24"/>
        </w:rPr>
        <w:t xml:space="preserve">stattdessen </w:t>
      </w:r>
      <w:r w:rsidR="00F270A3">
        <w:rPr>
          <w:sz w:val="24"/>
          <w:szCs w:val="24"/>
        </w:rPr>
        <w:t xml:space="preserve">negative Bemerkungen </w:t>
      </w:r>
      <w:r w:rsidR="00F270A3">
        <w:rPr>
          <w:sz w:val="24"/>
          <w:szCs w:val="24"/>
        </w:rPr>
        <w:lastRenderedPageBreak/>
        <w:t xml:space="preserve">über den </w:t>
      </w:r>
      <w:r w:rsidR="009D58E3">
        <w:rPr>
          <w:sz w:val="24"/>
          <w:szCs w:val="24"/>
        </w:rPr>
        <w:t>L</w:t>
      </w:r>
      <w:r w:rsidR="00F270A3">
        <w:rPr>
          <w:sz w:val="24"/>
          <w:szCs w:val="24"/>
        </w:rPr>
        <w:t xml:space="preserve">ebensstandard, auch </w:t>
      </w:r>
      <w:r w:rsidR="009D58E3">
        <w:rPr>
          <w:sz w:val="24"/>
          <w:szCs w:val="24"/>
        </w:rPr>
        <w:t>über</w:t>
      </w:r>
      <w:r w:rsidR="00F270A3">
        <w:rPr>
          <w:sz w:val="24"/>
          <w:szCs w:val="24"/>
        </w:rPr>
        <w:t xml:space="preserve"> </w:t>
      </w:r>
      <w:r w:rsidR="009D58E3">
        <w:rPr>
          <w:sz w:val="24"/>
          <w:szCs w:val="24"/>
        </w:rPr>
        <w:t xml:space="preserve">die mangelnde </w:t>
      </w:r>
      <w:r w:rsidR="00F270A3">
        <w:rPr>
          <w:sz w:val="24"/>
          <w:szCs w:val="24"/>
        </w:rPr>
        <w:t>Pressefreiheit und Demokratie, beklage sich über den Service im Hotel</w:t>
      </w:r>
      <w:r w:rsidR="009D58E3">
        <w:rPr>
          <w:sz w:val="24"/>
          <w:szCs w:val="24"/>
        </w:rPr>
        <w:t xml:space="preserve"> [!]</w:t>
      </w:r>
      <w:r w:rsidR="00F270A3">
        <w:rPr>
          <w:sz w:val="24"/>
          <w:szCs w:val="24"/>
        </w:rPr>
        <w:t>, über schlampige Postzustellung und andere Missstände.</w:t>
      </w:r>
      <w:r w:rsidR="00F270A3">
        <w:rPr>
          <w:rStyle w:val="Funotenzeichen"/>
          <w:sz w:val="24"/>
          <w:szCs w:val="24"/>
        </w:rPr>
        <w:footnoteReference w:id="79"/>
      </w:r>
      <w:r w:rsidR="00F270A3">
        <w:rPr>
          <w:sz w:val="24"/>
          <w:szCs w:val="24"/>
        </w:rPr>
        <w:t xml:space="preserve"> </w:t>
      </w:r>
      <w:r w:rsidR="00257662">
        <w:rPr>
          <w:sz w:val="24"/>
          <w:szCs w:val="24"/>
        </w:rPr>
        <w:t xml:space="preserve">Der „Ästhet in der Sowjetunion“ war also nicht Gide, sondern Feuchtwanger selber. </w:t>
      </w:r>
      <w:r w:rsidR="00F15D13">
        <w:rPr>
          <w:sz w:val="24"/>
          <w:szCs w:val="24"/>
        </w:rPr>
        <w:t>– Feuchtwanger war sich dieser kritischen Haltung durchaus bewusst. M</w:t>
      </w:r>
      <w:r w:rsidR="00AD5200">
        <w:rPr>
          <w:sz w:val="24"/>
          <w:szCs w:val="24"/>
        </w:rPr>
        <w:t xml:space="preserve">it </w:t>
      </w:r>
      <w:r w:rsidR="00257662">
        <w:rPr>
          <w:sz w:val="24"/>
          <w:szCs w:val="24"/>
        </w:rPr>
        <w:t>unverkennbar</w:t>
      </w:r>
      <w:r w:rsidR="00AD5200">
        <w:rPr>
          <w:sz w:val="24"/>
          <w:szCs w:val="24"/>
        </w:rPr>
        <w:t>er Ir</w:t>
      </w:r>
      <w:r w:rsidR="00AD5200">
        <w:rPr>
          <w:sz w:val="24"/>
          <w:szCs w:val="24"/>
        </w:rPr>
        <w:t>o</w:t>
      </w:r>
      <w:r w:rsidR="00AD5200">
        <w:rPr>
          <w:sz w:val="24"/>
          <w:szCs w:val="24"/>
        </w:rPr>
        <w:t xml:space="preserve">nie, </w:t>
      </w:r>
      <w:r w:rsidR="00257662">
        <w:rPr>
          <w:sz w:val="24"/>
          <w:szCs w:val="24"/>
        </w:rPr>
        <w:t>dabei</w:t>
      </w:r>
      <w:r w:rsidR="00AD5200">
        <w:rPr>
          <w:sz w:val="24"/>
          <w:szCs w:val="24"/>
        </w:rPr>
        <w:t xml:space="preserve"> klar auf d</w:t>
      </w:r>
      <w:r w:rsidR="00257662">
        <w:rPr>
          <w:sz w:val="24"/>
          <w:szCs w:val="24"/>
        </w:rPr>
        <w:t>as</w:t>
      </w:r>
      <w:r w:rsidR="00AD5200">
        <w:rPr>
          <w:sz w:val="24"/>
          <w:szCs w:val="24"/>
        </w:rPr>
        <w:t xml:space="preserve"> </w:t>
      </w:r>
      <w:r w:rsidR="00F15D13">
        <w:rPr>
          <w:sz w:val="24"/>
          <w:szCs w:val="24"/>
        </w:rPr>
        <w:t xml:space="preserve">eigene </w:t>
      </w:r>
      <w:r w:rsidR="00257662">
        <w:rPr>
          <w:sz w:val="24"/>
          <w:szCs w:val="24"/>
        </w:rPr>
        <w:t>Verhalten</w:t>
      </w:r>
      <w:r w:rsidR="00F15D13">
        <w:rPr>
          <w:sz w:val="24"/>
          <w:szCs w:val="24"/>
        </w:rPr>
        <w:t xml:space="preserve"> </w:t>
      </w:r>
      <w:r w:rsidR="00AD5200">
        <w:rPr>
          <w:sz w:val="24"/>
          <w:szCs w:val="24"/>
        </w:rPr>
        <w:t xml:space="preserve">anspielend, schreibt </w:t>
      </w:r>
      <w:r w:rsidR="00C20E2A">
        <w:rPr>
          <w:sz w:val="24"/>
          <w:szCs w:val="24"/>
        </w:rPr>
        <w:t xml:space="preserve">er </w:t>
      </w:r>
      <w:r w:rsidR="00AD5200">
        <w:rPr>
          <w:sz w:val="24"/>
          <w:szCs w:val="24"/>
        </w:rPr>
        <w:t>nach seiner Rückkehr an seine Dolmetscherin:</w:t>
      </w:r>
    </w:p>
    <w:p w:rsidR="00AD5200" w:rsidRPr="00AD5200" w:rsidRDefault="00AD5200" w:rsidP="00E41506">
      <w:pPr>
        <w:spacing w:after="0"/>
        <w:ind w:left="1134"/>
        <w:jc w:val="both"/>
        <w:rPr>
          <w:sz w:val="24"/>
          <w:szCs w:val="24"/>
        </w:rPr>
      </w:pPr>
      <w:r w:rsidRPr="00AD5200">
        <w:rPr>
          <w:sz w:val="24"/>
          <w:szCs w:val="24"/>
        </w:rPr>
        <w:t xml:space="preserve">„Jetzt […] sitze ich glücklich hier, es ist strahlendes Wetter, warm und sehr still, keine </w:t>
      </w:r>
      <w:proofErr w:type="spellStart"/>
      <w:r w:rsidRPr="00AD5200">
        <w:rPr>
          <w:sz w:val="24"/>
          <w:szCs w:val="24"/>
        </w:rPr>
        <w:t>Strassenbahn</w:t>
      </w:r>
      <w:proofErr w:type="spellEnd"/>
      <w:r w:rsidRPr="00AD5200">
        <w:rPr>
          <w:sz w:val="24"/>
          <w:szCs w:val="24"/>
        </w:rPr>
        <w:t xml:space="preserve"> und kein </w:t>
      </w:r>
      <w:proofErr w:type="spellStart"/>
      <w:r w:rsidRPr="00AD5200">
        <w:rPr>
          <w:sz w:val="24"/>
          <w:szCs w:val="24"/>
        </w:rPr>
        <w:t>Strassenlärm</w:t>
      </w:r>
      <w:proofErr w:type="spellEnd"/>
      <w:r w:rsidRPr="00AD5200">
        <w:rPr>
          <w:sz w:val="24"/>
          <w:szCs w:val="24"/>
        </w:rPr>
        <w:t>, keine langen Reisen vom Schlafzi</w:t>
      </w:r>
      <w:r w:rsidRPr="00AD5200">
        <w:rPr>
          <w:sz w:val="24"/>
          <w:szCs w:val="24"/>
        </w:rPr>
        <w:t>m</w:t>
      </w:r>
      <w:r w:rsidRPr="00AD5200">
        <w:rPr>
          <w:sz w:val="24"/>
          <w:szCs w:val="24"/>
        </w:rPr>
        <w:t>mer zum Badezimmer</w:t>
      </w:r>
      <w:r w:rsidR="00257662">
        <w:rPr>
          <w:sz w:val="24"/>
          <w:szCs w:val="24"/>
        </w:rPr>
        <w:t xml:space="preserve"> [!]</w:t>
      </w:r>
      <w:r w:rsidRPr="00AD5200">
        <w:rPr>
          <w:sz w:val="24"/>
          <w:szCs w:val="24"/>
        </w:rPr>
        <w:t xml:space="preserve">, keine Interviewer, dafür aber Gemüse und Salat </w:t>
      </w:r>
      <w:proofErr w:type="spellStart"/>
      <w:r w:rsidRPr="00AD5200">
        <w:rPr>
          <w:sz w:val="24"/>
          <w:szCs w:val="24"/>
        </w:rPr>
        <w:t>soviel</w:t>
      </w:r>
      <w:proofErr w:type="spellEnd"/>
      <w:r w:rsidRPr="00AD5200">
        <w:rPr>
          <w:sz w:val="24"/>
          <w:szCs w:val="24"/>
        </w:rPr>
        <w:t xml:space="preserve"> man will</w:t>
      </w:r>
      <w:r w:rsidR="00257662">
        <w:rPr>
          <w:sz w:val="24"/>
          <w:szCs w:val="24"/>
        </w:rPr>
        <w:t xml:space="preserve"> [!]</w:t>
      </w:r>
      <w:r w:rsidRPr="00AD5200">
        <w:rPr>
          <w:sz w:val="24"/>
          <w:szCs w:val="24"/>
        </w:rPr>
        <w:t xml:space="preserve">. Verstehen Sie mich recht, liebe </w:t>
      </w:r>
      <w:proofErr w:type="spellStart"/>
      <w:r w:rsidRPr="00AD5200">
        <w:rPr>
          <w:sz w:val="24"/>
          <w:szCs w:val="24"/>
        </w:rPr>
        <w:t>Karawkina</w:t>
      </w:r>
      <w:proofErr w:type="spellEnd"/>
      <w:r w:rsidRPr="00AD5200">
        <w:rPr>
          <w:sz w:val="24"/>
          <w:szCs w:val="24"/>
        </w:rPr>
        <w:t xml:space="preserve">, das ist natürlich ein </w:t>
      </w:r>
      <w:proofErr w:type="spellStart"/>
      <w:r w:rsidRPr="00AD5200">
        <w:rPr>
          <w:sz w:val="24"/>
          <w:szCs w:val="24"/>
        </w:rPr>
        <w:t>Spass</w:t>
      </w:r>
      <w:proofErr w:type="spellEnd"/>
      <w:r w:rsidRPr="00AD5200">
        <w:rPr>
          <w:sz w:val="24"/>
          <w:szCs w:val="24"/>
        </w:rPr>
        <w:t xml:space="preserve">, und ich denke mit tiefer Befriedigung an Moskau zurück. Wenn ich das tun kann, so danke ich </w:t>
      </w:r>
      <w:proofErr w:type="gramStart"/>
      <w:r w:rsidRPr="00AD5200">
        <w:rPr>
          <w:sz w:val="24"/>
          <w:szCs w:val="24"/>
        </w:rPr>
        <w:t>ein gut</w:t>
      </w:r>
      <w:proofErr w:type="gramEnd"/>
      <w:r w:rsidRPr="00AD5200">
        <w:rPr>
          <w:sz w:val="24"/>
          <w:szCs w:val="24"/>
        </w:rPr>
        <w:t xml:space="preserve"> Teil davon Ihnen. Erlauben Sie mir wirklich, Ihnen nochmals und herzlich zu danken für die Mühe und Aufopferung, mit der Sie mir geholfen haben.“</w:t>
      </w:r>
      <w:r>
        <w:rPr>
          <w:rStyle w:val="Funotenzeichen"/>
          <w:sz w:val="24"/>
          <w:szCs w:val="24"/>
        </w:rPr>
        <w:footnoteReference w:id="80"/>
      </w:r>
    </w:p>
    <w:p w:rsidR="00BE3015" w:rsidRDefault="00C20E2A" w:rsidP="00E41506">
      <w:pPr>
        <w:spacing w:after="0"/>
        <w:jc w:val="both"/>
        <w:rPr>
          <w:sz w:val="24"/>
          <w:szCs w:val="24"/>
        </w:rPr>
      </w:pPr>
      <w:r>
        <w:rPr>
          <w:sz w:val="24"/>
          <w:szCs w:val="24"/>
        </w:rPr>
        <w:t xml:space="preserve">Mit dieser Ironie verdrängt Feuchtwanger einen Teil seines Wissens und der Informationen über die „Säuberungen“, die er in Moskau erhalten hatte. </w:t>
      </w:r>
      <w:proofErr w:type="spellStart"/>
      <w:r w:rsidR="00F270A3">
        <w:rPr>
          <w:sz w:val="24"/>
          <w:szCs w:val="24"/>
        </w:rPr>
        <w:t>Zenzl</w:t>
      </w:r>
      <w:proofErr w:type="spellEnd"/>
      <w:r w:rsidR="00F270A3">
        <w:rPr>
          <w:sz w:val="24"/>
          <w:szCs w:val="24"/>
        </w:rPr>
        <w:t xml:space="preserve"> Mühsam, die von April bis Oktober 1936 in Haft </w:t>
      </w:r>
      <w:r w:rsidR="00F15D13">
        <w:rPr>
          <w:sz w:val="24"/>
          <w:szCs w:val="24"/>
        </w:rPr>
        <w:t xml:space="preserve">gewesen </w:t>
      </w:r>
      <w:r w:rsidR="00F270A3">
        <w:rPr>
          <w:sz w:val="24"/>
          <w:szCs w:val="24"/>
        </w:rPr>
        <w:t xml:space="preserve">war, </w:t>
      </w:r>
      <w:r w:rsidR="00F15D13">
        <w:rPr>
          <w:sz w:val="24"/>
          <w:szCs w:val="24"/>
        </w:rPr>
        <w:t>also ein Opfer der Massenverhaftungen gew</w:t>
      </w:r>
      <w:r w:rsidR="00EE7A0D">
        <w:rPr>
          <w:sz w:val="24"/>
          <w:szCs w:val="24"/>
        </w:rPr>
        <w:t>ord</w:t>
      </w:r>
      <w:r w:rsidR="00F15D13">
        <w:rPr>
          <w:sz w:val="24"/>
          <w:szCs w:val="24"/>
        </w:rPr>
        <w:t>en war, war</w:t>
      </w:r>
      <w:r w:rsidR="00F270A3">
        <w:rPr>
          <w:sz w:val="24"/>
          <w:szCs w:val="24"/>
        </w:rPr>
        <w:t xml:space="preserve"> es </w:t>
      </w:r>
      <w:r>
        <w:rPr>
          <w:sz w:val="24"/>
          <w:szCs w:val="24"/>
        </w:rPr>
        <w:t>immerhin</w:t>
      </w:r>
      <w:r w:rsidR="00F15D13">
        <w:rPr>
          <w:sz w:val="24"/>
          <w:szCs w:val="24"/>
        </w:rPr>
        <w:t xml:space="preserve"> gelungen</w:t>
      </w:r>
      <w:r w:rsidR="00F270A3">
        <w:rPr>
          <w:sz w:val="24"/>
          <w:szCs w:val="24"/>
        </w:rPr>
        <w:t xml:space="preserve">, </w:t>
      </w:r>
      <w:r w:rsidR="00F15D13">
        <w:rPr>
          <w:sz w:val="24"/>
          <w:szCs w:val="24"/>
        </w:rPr>
        <w:t xml:space="preserve">in Moskau </w:t>
      </w:r>
      <w:r w:rsidR="00F270A3">
        <w:rPr>
          <w:sz w:val="24"/>
          <w:szCs w:val="24"/>
        </w:rPr>
        <w:t xml:space="preserve">mit Feuchtwanger in </w:t>
      </w:r>
      <w:r w:rsidR="00F15D13">
        <w:rPr>
          <w:sz w:val="24"/>
          <w:szCs w:val="24"/>
        </w:rPr>
        <w:t xml:space="preserve">persönlichen </w:t>
      </w:r>
      <w:r w:rsidR="00F270A3">
        <w:rPr>
          <w:sz w:val="24"/>
          <w:szCs w:val="24"/>
        </w:rPr>
        <w:t>Kontakt zu treten.</w:t>
      </w:r>
      <w:r>
        <w:rPr>
          <w:sz w:val="24"/>
          <w:szCs w:val="24"/>
        </w:rPr>
        <w:t xml:space="preserve"> </w:t>
      </w:r>
      <w:r w:rsidR="00EE7A0D">
        <w:rPr>
          <w:sz w:val="24"/>
          <w:szCs w:val="24"/>
        </w:rPr>
        <w:t xml:space="preserve">Statt jedoch den Informationen nachzugehen, die ihm </w:t>
      </w:r>
      <w:proofErr w:type="spellStart"/>
      <w:r w:rsidR="00EE7A0D">
        <w:rPr>
          <w:sz w:val="24"/>
          <w:szCs w:val="24"/>
        </w:rPr>
        <w:t>Zenzl</w:t>
      </w:r>
      <w:proofErr w:type="spellEnd"/>
      <w:r w:rsidR="00EE7A0D">
        <w:rPr>
          <w:sz w:val="24"/>
          <w:szCs w:val="24"/>
        </w:rPr>
        <w:t xml:space="preserve"> Mühsam übermitteln wollte, spricht Feuchtwanger gegenüber Dora </w:t>
      </w:r>
      <w:proofErr w:type="spellStart"/>
      <w:r w:rsidR="00EE7A0D">
        <w:rPr>
          <w:sz w:val="24"/>
          <w:szCs w:val="24"/>
        </w:rPr>
        <w:t>Karawkina</w:t>
      </w:r>
      <w:proofErr w:type="spellEnd"/>
      <w:r w:rsidR="00EE7A0D">
        <w:rPr>
          <w:sz w:val="24"/>
          <w:szCs w:val="24"/>
        </w:rPr>
        <w:t xml:space="preserve"> davon, dass </w:t>
      </w:r>
      <w:proofErr w:type="spellStart"/>
      <w:r w:rsidR="00EE7A0D">
        <w:rPr>
          <w:sz w:val="24"/>
          <w:szCs w:val="24"/>
        </w:rPr>
        <w:t>Zenzl</w:t>
      </w:r>
      <w:proofErr w:type="spellEnd"/>
      <w:r w:rsidR="00EE7A0D">
        <w:rPr>
          <w:sz w:val="24"/>
          <w:szCs w:val="24"/>
        </w:rPr>
        <w:t xml:space="preserve"> Mühsam versucht habe, ihn in ihre „unschöne Angelegenheit“ hineinzuziehen.</w:t>
      </w:r>
      <w:r w:rsidR="00F270A3">
        <w:rPr>
          <w:rStyle w:val="Funotenzeichen"/>
          <w:sz w:val="24"/>
          <w:szCs w:val="24"/>
        </w:rPr>
        <w:footnoteReference w:id="81"/>
      </w:r>
      <w:r w:rsidR="00AD5200">
        <w:rPr>
          <w:sz w:val="24"/>
          <w:szCs w:val="24"/>
        </w:rPr>
        <w:t xml:space="preserve"> </w:t>
      </w:r>
    </w:p>
    <w:p w:rsidR="00257662" w:rsidRDefault="00257662" w:rsidP="00E41506">
      <w:pPr>
        <w:spacing w:after="0"/>
        <w:jc w:val="both"/>
        <w:rPr>
          <w:sz w:val="24"/>
          <w:szCs w:val="24"/>
        </w:rPr>
      </w:pPr>
    </w:p>
    <w:p w:rsidR="00257662" w:rsidRDefault="00257662" w:rsidP="00E41506">
      <w:pPr>
        <w:spacing w:after="0"/>
        <w:ind w:firstLine="708"/>
        <w:jc w:val="both"/>
        <w:rPr>
          <w:sz w:val="24"/>
          <w:szCs w:val="24"/>
        </w:rPr>
      </w:pPr>
      <w:r>
        <w:rPr>
          <w:sz w:val="24"/>
          <w:szCs w:val="24"/>
        </w:rPr>
        <w:t xml:space="preserve">Feuchtwanger war also nicht bloß </w:t>
      </w:r>
      <w:r w:rsidR="006B09D6">
        <w:rPr>
          <w:sz w:val="24"/>
          <w:szCs w:val="24"/>
        </w:rPr>
        <w:t xml:space="preserve">durch eine von den „Säuberungen“ Betroffene </w:t>
      </w:r>
      <w:r>
        <w:rPr>
          <w:sz w:val="24"/>
          <w:szCs w:val="24"/>
        </w:rPr>
        <w:t>i</w:t>
      </w:r>
      <w:r>
        <w:rPr>
          <w:sz w:val="24"/>
          <w:szCs w:val="24"/>
        </w:rPr>
        <w:t>n</w:t>
      </w:r>
      <w:r>
        <w:rPr>
          <w:sz w:val="24"/>
          <w:szCs w:val="24"/>
        </w:rPr>
        <w:t xml:space="preserve">formiert, sondern er teilte persönlich durchaus die Monita, die die Kritiker der Sowjetunion vorbrachten. </w:t>
      </w:r>
      <w:r w:rsidR="00A524F4">
        <w:rPr>
          <w:sz w:val="24"/>
          <w:szCs w:val="24"/>
        </w:rPr>
        <w:t xml:space="preserve">Warum verfasste er mit </w:t>
      </w:r>
      <w:r w:rsidR="00A524F4">
        <w:rPr>
          <w:i/>
          <w:sz w:val="24"/>
          <w:szCs w:val="24"/>
        </w:rPr>
        <w:t xml:space="preserve">Moskau </w:t>
      </w:r>
      <w:r w:rsidR="00A524F4" w:rsidRPr="00A524F4">
        <w:rPr>
          <w:sz w:val="24"/>
          <w:szCs w:val="24"/>
        </w:rPr>
        <w:t>1937</w:t>
      </w:r>
      <w:r w:rsidR="00A524F4">
        <w:rPr>
          <w:sz w:val="24"/>
          <w:szCs w:val="24"/>
        </w:rPr>
        <w:t xml:space="preserve"> </w:t>
      </w:r>
      <w:r w:rsidR="00A524F4" w:rsidRPr="00A524F4">
        <w:rPr>
          <w:sz w:val="24"/>
          <w:szCs w:val="24"/>
        </w:rPr>
        <w:t>trotzdem</w:t>
      </w:r>
      <w:r w:rsidR="00A524F4">
        <w:rPr>
          <w:sz w:val="24"/>
          <w:szCs w:val="24"/>
        </w:rPr>
        <w:t xml:space="preserve"> eine Propagandaschrift?</w:t>
      </w:r>
      <w:r w:rsidR="00BE3015">
        <w:rPr>
          <w:sz w:val="24"/>
          <w:szCs w:val="24"/>
        </w:rPr>
        <w:t xml:space="preserve"> </w:t>
      </w:r>
    </w:p>
    <w:p w:rsidR="00854CBA" w:rsidRDefault="00FA3291" w:rsidP="00E41506">
      <w:pPr>
        <w:spacing w:after="0"/>
        <w:ind w:firstLine="708"/>
        <w:jc w:val="both"/>
        <w:rPr>
          <w:sz w:val="24"/>
          <w:szCs w:val="24"/>
        </w:rPr>
      </w:pPr>
      <w:r>
        <w:rPr>
          <w:sz w:val="24"/>
          <w:szCs w:val="24"/>
        </w:rPr>
        <w:t>Bei der</w:t>
      </w:r>
      <w:r w:rsidR="00636886">
        <w:rPr>
          <w:sz w:val="24"/>
          <w:szCs w:val="24"/>
        </w:rPr>
        <w:t xml:space="preserve"> Antwort kann man Anne Hartmann </w:t>
      </w:r>
      <w:r w:rsidR="00257662">
        <w:rPr>
          <w:sz w:val="24"/>
          <w:szCs w:val="24"/>
        </w:rPr>
        <w:t xml:space="preserve">nur </w:t>
      </w:r>
      <w:r w:rsidR="00636886">
        <w:rPr>
          <w:sz w:val="24"/>
          <w:szCs w:val="24"/>
        </w:rPr>
        <w:t xml:space="preserve">zustimmen, </w:t>
      </w:r>
      <w:r w:rsidR="00257662">
        <w:rPr>
          <w:sz w:val="24"/>
          <w:szCs w:val="24"/>
        </w:rPr>
        <w:t>d</w:t>
      </w:r>
      <w:r w:rsidR="00636886">
        <w:rPr>
          <w:sz w:val="24"/>
          <w:szCs w:val="24"/>
        </w:rPr>
        <w:t xml:space="preserve">ie sagt, dass </w:t>
      </w:r>
      <w:r w:rsidR="00257662">
        <w:rPr>
          <w:sz w:val="24"/>
          <w:szCs w:val="24"/>
        </w:rPr>
        <w:t>für</w:t>
      </w:r>
      <w:r w:rsidR="00257662" w:rsidRPr="00636886">
        <w:rPr>
          <w:sz w:val="24"/>
          <w:szCs w:val="24"/>
        </w:rPr>
        <w:t xml:space="preserve"> Feuch</w:t>
      </w:r>
      <w:r w:rsidR="00257662" w:rsidRPr="00636886">
        <w:rPr>
          <w:sz w:val="24"/>
          <w:szCs w:val="24"/>
        </w:rPr>
        <w:t>t</w:t>
      </w:r>
      <w:r w:rsidR="00257662" w:rsidRPr="00636886">
        <w:rPr>
          <w:sz w:val="24"/>
          <w:szCs w:val="24"/>
        </w:rPr>
        <w:t>wanger</w:t>
      </w:r>
      <w:r w:rsidR="00257662">
        <w:rPr>
          <w:sz w:val="24"/>
          <w:szCs w:val="24"/>
        </w:rPr>
        <w:t xml:space="preserve"> </w:t>
      </w:r>
      <w:r w:rsidR="00636886">
        <w:rPr>
          <w:sz w:val="24"/>
          <w:szCs w:val="24"/>
        </w:rPr>
        <w:t>„</w:t>
      </w:r>
      <w:r w:rsidR="00636886" w:rsidRPr="00636886">
        <w:rPr>
          <w:sz w:val="24"/>
          <w:szCs w:val="24"/>
        </w:rPr>
        <w:t>vor allem die politischen Gründe, das Entsetzen über den Aufstieg Hitlers und die Enttäuschung über die westlichen Demokratien</w:t>
      </w:r>
      <w:r w:rsidR="00636886">
        <w:rPr>
          <w:sz w:val="24"/>
          <w:szCs w:val="24"/>
        </w:rPr>
        <w:t>“</w:t>
      </w:r>
      <w:r w:rsidR="00636886" w:rsidRPr="00636886">
        <w:rPr>
          <w:sz w:val="24"/>
          <w:szCs w:val="24"/>
        </w:rPr>
        <w:t xml:space="preserve"> </w:t>
      </w:r>
      <w:r w:rsidR="00636886">
        <w:rPr>
          <w:sz w:val="24"/>
          <w:szCs w:val="24"/>
        </w:rPr>
        <w:t>ausschlaggebend gewesen seien</w:t>
      </w:r>
      <w:r w:rsidR="00636886" w:rsidRPr="00636886">
        <w:rPr>
          <w:sz w:val="24"/>
          <w:szCs w:val="24"/>
        </w:rPr>
        <w:t xml:space="preserve">, </w:t>
      </w:r>
      <w:r w:rsidR="00636886" w:rsidRPr="00257662">
        <w:rPr>
          <w:i/>
          <w:sz w:val="24"/>
          <w:szCs w:val="24"/>
        </w:rPr>
        <w:t xml:space="preserve">„in </w:t>
      </w:r>
      <w:r w:rsidR="00636886" w:rsidRPr="00257662">
        <w:rPr>
          <w:i/>
          <w:iCs/>
          <w:sz w:val="24"/>
          <w:szCs w:val="24"/>
        </w:rPr>
        <w:t>Moskau 1937</w:t>
      </w:r>
      <w:r w:rsidR="00636886" w:rsidRPr="00257662">
        <w:rPr>
          <w:i/>
          <w:sz w:val="24"/>
          <w:szCs w:val="24"/>
        </w:rPr>
        <w:t xml:space="preserve"> die Sowjetunion als Reich der Vernunft und Hoffnungsland zu beschwören</w:t>
      </w:r>
      <w:r w:rsidR="00636886">
        <w:rPr>
          <w:sz w:val="24"/>
          <w:szCs w:val="24"/>
        </w:rPr>
        <w:t>“ und „h</w:t>
      </w:r>
      <w:r w:rsidR="00636886" w:rsidRPr="00636886">
        <w:rPr>
          <w:sz w:val="24"/>
          <w:szCs w:val="24"/>
        </w:rPr>
        <w:t xml:space="preserve">ier nicht als Zeuge, sondern als </w:t>
      </w:r>
      <w:r w:rsidR="00636886">
        <w:rPr>
          <w:sz w:val="24"/>
          <w:szCs w:val="24"/>
        </w:rPr>
        <w:t>‚</w:t>
      </w:r>
      <w:r w:rsidR="00636886" w:rsidRPr="00636886">
        <w:rPr>
          <w:sz w:val="24"/>
          <w:szCs w:val="24"/>
        </w:rPr>
        <w:t>politischer Stratege</w:t>
      </w:r>
      <w:r w:rsidR="00636886">
        <w:rPr>
          <w:sz w:val="24"/>
          <w:szCs w:val="24"/>
        </w:rPr>
        <w:t>‘“ zu schreiben.</w:t>
      </w:r>
      <w:r w:rsidR="00636886">
        <w:rPr>
          <w:rStyle w:val="Funotenzeichen"/>
          <w:sz w:val="24"/>
          <w:szCs w:val="24"/>
        </w:rPr>
        <w:footnoteReference w:id="82"/>
      </w:r>
      <w:r w:rsidR="00636886">
        <w:rPr>
          <w:sz w:val="24"/>
          <w:szCs w:val="24"/>
        </w:rPr>
        <w:t xml:space="preserve"> </w:t>
      </w:r>
      <w:r w:rsidR="00257662">
        <w:rPr>
          <w:sz w:val="24"/>
          <w:szCs w:val="24"/>
        </w:rPr>
        <w:t xml:space="preserve">Diese Feststellung </w:t>
      </w:r>
      <w:r>
        <w:rPr>
          <w:sz w:val="24"/>
          <w:szCs w:val="24"/>
        </w:rPr>
        <w:t>lässt allerdings einen entscheidenden Aspekt außer Betracht:</w:t>
      </w:r>
      <w:r w:rsidR="009D107E">
        <w:rPr>
          <w:sz w:val="24"/>
          <w:szCs w:val="24"/>
        </w:rPr>
        <w:t xml:space="preserve"> Wenn es Feuchtwangers Intention gewesen sein sollte, der Diktatur Hitlers die Sowjetunion als </w:t>
      </w:r>
      <w:r>
        <w:rPr>
          <w:sz w:val="24"/>
          <w:szCs w:val="24"/>
        </w:rPr>
        <w:t>positives Beispiel</w:t>
      </w:r>
      <w:r w:rsidR="009D107E">
        <w:rPr>
          <w:sz w:val="24"/>
          <w:szCs w:val="24"/>
        </w:rPr>
        <w:t xml:space="preserve"> gegenüberz</w:t>
      </w:r>
      <w:r w:rsidR="009D107E">
        <w:rPr>
          <w:sz w:val="24"/>
          <w:szCs w:val="24"/>
        </w:rPr>
        <w:t>u</w:t>
      </w:r>
      <w:r w:rsidR="009D107E">
        <w:rPr>
          <w:sz w:val="24"/>
          <w:szCs w:val="24"/>
        </w:rPr>
        <w:t xml:space="preserve">stellen, weil er </w:t>
      </w:r>
      <w:r>
        <w:rPr>
          <w:sz w:val="24"/>
          <w:szCs w:val="24"/>
        </w:rPr>
        <w:t>sie für ihn</w:t>
      </w:r>
      <w:r w:rsidR="009D107E">
        <w:rPr>
          <w:sz w:val="24"/>
          <w:szCs w:val="24"/>
        </w:rPr>
        <w:t xml:space="preserve"> </w:t>
      </w:r>
      <w:r w:rsidR="00854CBA">
        <w:rPr>
          <w:sz w:val="24"/>
          <w:szCs w:val="24"/>
        </w:rPr>
        <w:t xml:space="preserve">das „Land der Zukunft“ </w:t>
      </w:r>
      <w:r>
        <w:rPr>
          <w:sz w:val="24"/>
          <w:szCs w:val="24"/>
        </w:rPr>
        <w:t>war</w:t>
      </w:r>
      <w:r w:rsidR="00854CBA">
        <w:rPr>
          <w:sz w:val="24"/>
          <w:szCs w:val="24"/>
        </w:rPr>
        <w:t xml:space="preserve">, denn bedeutete das in der Realität, dass Terror durch Terror, </w:t>
      </w:r>
      <w:r>
        <w:rPr>
          <w:sz w:val="24"/>
          <w:szCs w:val="24"/>
        </w:rPr>
        <w:t xml:space="preserve">rassistische und politische Unterdrückung </w:t>
      </w:r>
      <w:r w:rsidR="00854CBA">
        <w:rPr>
          <w:sz w:val="24"/>
          <w:szCs w:val="24"/>
        </w:rPr>
        <w:t>durch andere Form</w:t>
      </w:r>
      <w:r>
        <w:rPr>
          <w:sz w:val="24"/>
          <w:szCs w:val="24"/>
        </w:rPr>
        <w:t>en</w:t>
      </w:r>
      <w:r w:rsidR="00854CBA">
        <w:rPr>
          <w:sz w:val="24"/>
          <w:szCs w:val="24"/>
        </w:rPr>
        <w:t xml:space="preserve"> der Un</w:t>
      </w:r>
      <w:r>
        <w:rPr>
          <w:sz w:val="24"/>
          <w:szCs w:val="24"/>
        </w:rPr>
        <w:t>terdrückung</w:t>
      </w:r>
      <w:r w:rsidR="00854CBA">
        <w:rPr>
          <w:sz w:val="24"/>
          <w:szCs w:val="24"/>
        </w:rPr>
        <w:t xml:space="preserve"> ersetzt wurde</w:t>
      </w:r>
      <w:r>
        <w:rPr>
          <w:sz w:val="24"/>
          <w:szCs w:val="24"/>
        </w:rPr>
        <w:t>n</w:t>
      </w:r>
      <w:r w:rsidR="00854CBA">
        <w:rPr>
          <w:sz w:val="24"/>
          <w:szCs w:val="24"/>
        </w:rPr>
        <w:t>. Das Ideal einer demokratischen</w:t>
      </w:r>
      <w:r>
        <w:rPr>
          <w:sz w:val="24"/>
          <w:szCs w:val="24"/>
        </w:rPr>
        <w:t>, also „freien“</w:t>
      </w:r>
      <w:r w:rsidR="00854CBA">
        <w:rPr>
          <w:sz w:val="24"/>
          <w:szCs w:val="24"/>
        </w:rPr>
        <w:t xml:space="preserve"> Gesellschaft war damit aufgegeben. </w:t>
      </w:r>
      <w:r w:rsidR="00FB2B50">
        <w:rPr>
          <w:sz w:val="24"/>
          <w:szCs w:val="24"/>
        </w:rPr>
        <w:t>D</w:t>
      </w:r>
      <w:r>
        <w:rPr>
          <w:sz w:val="24"/>
          <w:szCs w:val="24"/>
        </w:rPr>
        <w:t xml:space="preserve">ass das, was Feuchtwanger </w:t>
      </w:r>
      <w:r w:rsidR="00FB2B50">
        <w:rPr>
          <w:sz w:val="24"/>
          <w:szCs w:val="24"/>
        </w:rPr>
        <w:t xml:space="preserve">darüber hinaus in </w:t>
      </w:r>
      <w:r w:rsidR="00FB2B50">
        <w:rPr>
          <w:i/>
          <w:sz w:val="24"/>
          <w:szCs w:val="24"/>
        </w:rPr>
        <w:t xml:space="preserve">Moskau 1937 </w:t>
      </w:r>
      <w:r>
        <w:rPr>
          <w:sz w:val="24"/>
          <w:szCs w:val="24"/>
        </w:rPr>
        <w:t xml:space="preserve">über die </w:t>
      </w:r>
      <w:r>
        <w:rPr>
          <w:sz w:val="24"/>
          <w:szCs w:val="24"/>
        </w:rPr>
        <w:lastRenderedPageBreak/>
        <w:t>„Lösung der Judenfrage“</w:t>
      </w:r>
      <w:r>
        <w:rPr>
          <w:rStyle w:val="Funotenzeichen"/>
          <w:sz w:val="24"/>
          <w:szCs w:val="24"/>
        </w:rPr>
        <w:footnoteReference w:id="83"/>
      </w:r>
      <w:r>
        <w:rPr>
          <w:sz w:val="24"/>
          <w:szCs w:val="24"/>
        </w:rPr>
        <w:t xml:space="preserve"> in der Sowjetunion sagt, </w:t>
      </w:r>
      <w:r w:rsidR="00FB2B50">
        <w:rPr>
          <w:sz w:val="24"/>
          <w:szCs w:val="24"/>
        </w:rPr>
        <w:t>bloße</w:t>
      </w:r>
      <w:r>
        <w:rPr>
          <w:sz w:val="24"/>
          <w:szCs w:val="24"/>
        </w:rPr>
        <w:t xml:space="preserve"> </w:t>
      </w:r>
      <w:r w:rsidR="00FB2B50">
        <w:rPr>
          <w:sz w:val="24"/>
          <w:szCs w:val="24"/>
        </w:rPr>
        <w:t>Chimären sind, die den deutschen (jüdischen) Flüchtlingen als Hohn erscheinen mussten,</w:t>
      </w:r>
      <w:r w:rsidR="00FB2B50">
        <w:rPr>
          <w:rStyle w:val="Funotenzeichen"/>
          <w:sz w:val="24"/>
          <w:szCs w:val="24"/>
        </w:rPr>
        <w:footnoteReference w:id="84"/>
      </w:r>
      <w:r w:rsidR="00FB2B50">
        <w:rPr>
          <w:sz w:val="24"/>
          <w:szCs w:val="24"/>
        </w:rPr>
        <w:t xml:space="preserve"> ist offensichtlich.</w:t>
      </w:r>
    </w:p>
    <w:p w:rsidR="00854CBA" w:rsidRDefault="00F0335E" w:rsidP="00E41506">
      <w:pPr>
        <w:spacing w:after="0"/>
        <w:ind w:firstLine="708"/>
        <w:jc w:val="both"/>
        <w:rPr>
          <w:sz w:val="24"/>
          <w:szCs w:val="24"/>
        </w:rPr>
      </w:pPr>
      <w:r>
        <w:rPr>
          <w:sz w:val="24"/>
          <w:szCs w:val="24"/>
        </w:rPr>
        <w:t>Dies</w:t>
      </w:r>
      <w:r w:rsidR="00FA3291">
        <w:rPr>
          <w:sz w:val="24"/>
          <w:szCs w:val="24"/>
        </w:rPr>
        <w:t>e</w:t>
      </w:r>
      <w:r w:rsidR="00854CBA">
        <w:rPr>
          <w:sz w:val="24"/>
          <w:szCs w:val="24"/>
        </w:rPr>
        <w:t xml:space="preserve"> Zielsetzung</w:t>
      </w:r>
      <w:r w:rsidR="00FB2B50">
        <w:rPr>
          <w:sz w:val="24"/>
          <w:szCs w:val="24"/>
        </w:rPr>
        <w:t>en</w:t>
      </w:r>
      <w:r w:rsidR="00854CBA">
        <w:rPr>
          <w:sz w:val="24"/>
          <w:szCs w:val="24"/>
        </w:rPr>
        <w:t xml:space="preserve"> spaltete</w:t>
      </w:r>
      <w:r w:rsidR="00FB2B50">
        <w:rPr>
          <w:sz w:val="24"/>
          <w:szCs w:val="24"/>
        </w:rPr>
        <w:t>n</w:t>
      </w:r>
      <w:r w:rsidR="00854CBA">
        <w:rPr>
          <w:sz w:val="24"/>
          <w:szCs w:val="24"/>
        </w:rPr>
        <w:t xml:space="preserve"> das Exil. </w:t>
      </w:r>
      <w:r w:rsidR="007D3DEE">
        <w:rPr>
          <w:sz w:val="24"/>
          <w:szCs w:val="24"/>
        </w:rPr>
        <w:t xml:space="preserve">Die politischen Antagonismus traten stärker und deutlicher denn je in Erscheinung. </w:t>
      </w:r>
      <w:r>
        <w:rPr>
          <w:sz w:val="24"/>
          <w:szCs w:val="24"/>
        </w:rPr>
        <w:t xml:space="preserve">Feuchtwangers Plädoyer </w:t>
      </w:r>
      <w:r w:rsidR="00A21078">
        <w:rPr>
          <w:sz w:val="24"/>
          <w:szCs w:val="24"/>
        </w:rPr>
        <w:t xml:space="preserve">zugunsten der Sowjetunion </w:t>
      </w:r>
      <w:r>
        <w:rPr>
          <w:sz w:val="24"/>
          <w:szCs w:val="24"/>
        </w:rPr>
        <w:t xml:space="preserve">kam einem Großteil der Emigration nahezu einer Brüskierung gleich. </w:t>
      </w:r>
    </w:p>
    <w:bookmarkEnd w:id="0"/>
    <w:p w:rsidR="00BE3015" w:rsidRPr="001A069A" w:rsidRDefault="00BE3015" w:rsidP="00E41506">
      <w:pPr>
        <w:spacing w:after="0"/>
        <w:jc w:val="both"/>
        <w:rPr>
          <w:sz w:val="24"/>
          <w:szCs w:val="24"/>
        </w:rPr>
      </w:pPr>
    </w:p>
    <w:sectPr w:rsidR="00BE3015" w:rsidRPr="001A069A"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EA" w:rsidRDefault="005933EA" w:rsidP="003724BA">
      <w:pPr>
        <w:spacing w:after="0" w:line="240" w:lineRule="auto"/>
      </w:pPr>
      <w:r>
        <w:separator/>
      </w:r>
    </w:p>
  </w:endnote>
  <w:endnote w:type="continuationSeparator" w:id="0">
    <w:p w:rsidR="005933EA" w:rsidRDefault="005933EA" w:rsidP="0037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EA" w:rsidRDefault="005933EA" w:rsidP="003724BA">
      <w:pPr>
        <w:spacing w:after="0" w:line="240" w:lineRule="auto"/>
      </w:pPr>
      <w:r>
        <w:separator/>
      </w:r>
    </w:p>
  </w:footnote>
  <w:footnote w:type="continuationSeparator" w:id="0">
    <w:p w:rsidR="005933EA" w:rsidRDefault="005933EA" w:rsidP="003724BA">
      <w:pPr>
        <w:spacing w:after="0" w:line="240" w:lineRule="auto"/>
      </w:pPr>
      <w:r>
        <w:continuationSeparator/>
      </w:r>
    </w:p>
  </w:footnote>
  <w:footnote w:id="1">
    <w:p w:rsidR="00360F4F" w:rsidRPr="006B5D08" w:rsidRDefault="00360F4F">
      <w:pPr>
        <w:pStyle w:val="Funotentext"/>
      </w:pPr>
      <w:r>
        <w:rPr>
          <w:rStyle w:val="Funotenzeichen"/>
        </w:rPr>
        <w:footnoteRef/>
      </w:r>
      <w:r>
        <w:t xml:space="preserve"> </w:t>
      </w:r>
      <w:r w:rsidRPr="006B5D08">
        <w:t xml:space="preserve">Am 5. Juni 1936 wird in Frankreich eine Volksfrontregierung gebildet </w:t>
      </w:r>
      <w:r>
        <w:t xml:space="preserve">unter </w:t>
      </w:r>
      <w:r w:rsidRPr="006B5D08">
        <w:t>Léon Blum</w:t>
      </w:r>
      <w:r>
        <w:t xml:space="preserve"> als</w:t>
      </w:r>
      <w:r w:rsidRPr="006B5D08">
        <w:t xml:space="preserve"> Ministerpräsident </w:t>
      </w:r>
      <w:r>
        <w:t>gebildet</w:t>
      </w:r>
      <w:r w:rsidRPr="006B5D08">
        <w:t>.</w:t>
      </w:r>
      <w:r>
        <w:t xml:space="preserve"> Dies fördert die Bemühungen im Einigungsprozess.</w:t>
      </w:r>
    </w:p>
  </w:footnote>
  <w:footnote w:id="2">
    <w:p w:rsidR="00360F4F" w:rsidRPr="00941B48" w:rsidRDefault="00360F4F" w:rsidP="001D79D0">
      <w:pPr>
        <w:pStyle w:val="Funotentext"/>
      </w:pPr>
      <w:r>
        <w:rPr>
          <w:rStyle w:val="Funotenzeichen"/>
        </w:rPr>
        <w:footnoteRef/>
      </w:r>
      <w:r>
        <w:t xml:space="preserve"> Ursula Langkau-Alex: </w:t>
      </w:r>
      <w:r>
        <w:rPr>
          <w:i/>
        </w:rPr>
        <w:t>Volksfront für Deutschland?</w:t>
      </w:r>
      <w:r>
        <w:t xml:space="preserve"> Bd. 1: </w:t>
      </w:r>
      <w:r>
        <w:rPr>
          <w:i/>
        </w:rPr>
        <w:t>Vorgeschichte und Gründung des „Ausschusses zur Vorbereitung einer deutschen Volksfront“, 1933 – 1936.</w:t>
      </w:r>
      <w:r>
        <w:t xml:space="preserve"> Frankfurt a.M. 1977, S. 79. – Ich folge im Wesentlichen der Darstellung von Ursula Langkau-Alex, ohne auf die außerordentlich komplexen Details genauer einzugehen.</w:t>
      </w:r>
    </w:p>
  </w:footnote>
  <w:footnote w:id="3">
    <w:p w:rsidR="00360F4F" w:rsidRPr="003710C2" w:rsidRDefault="00360F4F">
      <w:pPr>
        <w:pStyle w:val="Funotentext"/>
      </w:pPr>
      <w:r>
        <w:rPr>
          <w:rStyle w:val="Funotenzeichen"/>
        </w:rPr>
        <w:footnoteRef/>
      </w:r>
      <w:r>
        <w:t xml:space="preserve"> Zur Biografie von Konrad Heiden vgl. Röder/</w:t>
      </w:r>
      <w:proofErr w:type="spellStart"/>
      <w:r>
        <w:t>Strauss</w:t>
      </w:r>
      <w:proofErr w:type="spellEnd"/>
      <w:r>
        <w:t xml:space="preserve">: </w:t>
      </w:r>
      <w:r>
        <w:rPr>
          <w:i/>
        </w:rPr>
        <w:t>Handbuch</w:t>
      </w:r>
      <w:r>
        <w:t>, Bd. 2, S. 474 f.</w:t>
      </w:r>
    </w:p>
  </w:footnote>
  <w:footnote w:id="4">
    <w:p w:rsidR="00360F4F" w:rsidRPr="00E914FB" w:rsidRDefault="00360F4F">
      <w:pPr>
        <w:pStyle w:val="Funotentext"/>
      </w:pPr>
      <w:r>
        <w:rPr>
          <w:rStyle w:val="Funotenzeichen"/>
        </w:rPr>
        <w:footnoteRef/>
      </w:r>
      <w:r>
        <w:t xml:space="preserve"> So Ursula Langkau-Alex: </w:t>
      </w:r>
      <w:r>
        <w:rPr>
          <w:i/>
        </w:rPr>
        <w:t>Volksfront</w:t>
      </w:r>
      <w:r>
        <w:t>, S. 79 f. unter Berufung auf die Memoiren von Maximilian Scheer.</w:t>
      </w:r>
    </w:p>
  </w:footnote>
  <w:footnote w:id="5">
    <w:p w:rsidR="00360F4F" w:rsidRDefault="00360F4F">
      <w:pPr>
        <w:pStyle w:val="Funotentext"/>
      </w:pPr>
      <w:r>
        <w:rPr>
          <w:rStyle w:val="Funotenzeichen"/>
        </w:rPr>
        <w:footnoteRef/>
      </w:r>
      <w:r>
        <w:t xml:space="preserve"> Zu Einzelheiten vgl. ebd., S. 80 ff.</w:t>
      </w:r>
    </w:p>
  </w:footnote>
  <w:footnote w:id="6">
    <w:p w:rsidR="00360F4F" w:rsidRDefault="00360F4F">
      <w:pPr>
        <w:pStyle w:val="Funotentext"/>
      </w:pPr>
      <w:r>
        <w:rPr>
          <w:rStyle w:val="Funotenzeichen"/>
        </w:rPr>
        <w:footnoteRef/>
      </w:r>
      <w:r>
        <w:t xml:space="preserve"> Ebd., S. 86.</w:t>
      </w:r>
    </w:p>
  </w:footnote>
  <w:footnote w:id="7">
    <w:p w:rsidR="00360F4F" w:rsidRDefault="00360F4F" w:rsidP="00F65DDC">
      <w:pPr>
        <w:pStyle w:val="Funotentext"/>
      </w:pPr>
      <w:r>
        <w:rPr>
          <w:rStyle w:val="Funotenzeichen"/>
        </w:rPr>
        <w:footnoteRef/>
      </w:r>
      <w:r>
        <w:t xml:space="preserve"> S. 142 ff.</w:t>
      </w:r>
    </w:p>
  </w:footnote>
  <w:footnote w:id="8">
    <w:p w:rsidR="00360F4F" w:rsidRDefault="00360F4F" w:rsidP="00862700">
      <w:pPr>
        <w:pStyle w:val="childview"/>
        <w:spacing w:before="0" w:beforeAutospacing="0" w:after="0" w:afterAutospacing="0"/>
      </w:pPr>
      <w:r>
        <w:rPr>
          <w:rStyle w:val="Funotenzeichen"/>
        </w:rPr>
        <w:footnoteRef/>
      </w:r>
      <w:r>
        <w:t xml:space="preserve"> </w:t>
      </w:r>
      <w:r w:rsidRPr="00862700">
        <w:rPr>
          <w:sz w:val="20"/>
          <w:szCs w:val="20"/>
        </w:rPr>
        <w:t xml:space="preserve">Vgl. hierzu Langkau-Alex, Ursula: </w:t>
      </w:r>
      <w:r w:rsidRPr="00862700">
        <w:rPr>
          <w:i/>
          <w:iCs/>
          <w:sz w:val="20"/>
          <w:szCs w:val="20"/>
        </w:rPr>
        <w:t xml:space="preserve">Deutsche Volksfront 1932-1939. </w:t>
      </w:r>
      <w:r w:rsidRPr="00862700">
        <w:rPr>
          <w:iCs/>
          <w:sz w:val="20"/>
          <w:szCs w:val="20"/>
        </w:rPr>
        <w:t>Zwischen Berlin, Paris, Prag und Moskau.</w:t>
      </w:r>
      <w:r w:rsidRPr="00862700">
        <w:rPr>
          <w:i/>
          <w:iCs/>
          <w:sz w:val="20"/>
          <w:szCs w:val="20"/>
        </w:rPr>
        <w:t xml:space="preserve"> </w:t>
      </w:r>
      <w:r w:rsidRPr="00862700">
        <w:rPr>
          <w:iCs/>
          <w:sz w:val="20"/>
          <w:szCs w:val="20"/>
        </w:rPr>
        <w:t>Bd. 1:</w:t>
      </w:r>
      <w:r w:rsidRPr="00862700">
        <w:rPr>
          <w:i/>
          <w:iCs/>
          <w:sz w:val="20"/>
          <w:szCs w:val="20"/>
        </w:rPr>
        <w:t xml:space="preserve"> Vorgeschichte und Gründung des Ausschusses zur Vorbereitung einer deutschen Volksfront</w:t>
      </w:r>
      <w:r w:rsidRPr="00862700">
        <w:rPr>
          <w:sz w:val="20"/>
          <w:szCs w:val="20"/>
        </w:rPr>
        <w:t xml:space="preserve">. Berlin 2004; </w:t>
      </w:r>
      <w:r w:rsidRPr="00862700">
        <w:rPr>
          <w:iCs/>
          <w:sz w:val="20"/>
          <w:szCs w:val="20"/>
        </w:rPr>
        <w:t>Bd. 2:</w:t>
      </w:r>
      <w:r w:rsidRPr="00862700">
        <w:rPr>
          <w:i/>
          <w:iCs/>
          <w:sz w:val="20"/>
          <w:szCs w:val="20"/>
        </w:rPr>
        <w:t xml:space="preserve"> Geschichte des Ausschusses zur Vorbereitung einer deutschen Volksfront</w:t>
      </w:r>
      <w:r w:rsidRPr="00862700">
        <w:rPr>
          <w:sz w:val="20"/>
          <w:szCs w:val="20"/>
        </w:rPr>
        <w:t>. Berlin</w:t>
      </w:r>
      <w:r>
        <w:rPr>
          <w:sz w:val="20"/>
          <w:szCs w:val="20"/>
        </w:rPr>
        <w:t xml:space="preserve"> </w:t>
      </w:r>
      <w:r w:rsidRPr="00862700">
        <w:rPr>
          <w:sz w:val="20"/>
          <w:szCs w:val="20"/>
        </w:rPr>
        <w:t>2004</w:t>
      </w:r>
      <w:r>
        <w:rPr>
          <w:sz w:val="20"/>
          <w:szCs w:val="20"/>
        </w:rPr>
        <w:t xml:space="preserve">; </w:t>
      </w:r>
      <w:r w:rsidRPr="00862700">
        <w:rPr>
          <w:iCs/>
          <w:sz w:val="20"/>
          <w:szCs w:val="20"/>
        </w:rPr>
        <w:t>Bd. 3:</w:t>
      </w:r>
      <w:r w:rsidRPr="00862700">
        <w:rPr>
          <w:i/>
          <w:iCs/>
          <w:sz w:val="20"/>
          <w:szCs w:val="20"/>
        </w:rPr>
        <w:t xml:space="preserve"> Dokumente zur Geschichte des Ausschusses zur Vorbereitung einer deutschen Volksfront, Chronik und Verzeichnisse</w:t>
      </w:r>
      <w:r w:rsidRPr="00862700">
        <w:rPr>
          <w:sz w:val="20"/>
          <w:szCs w:val="20"/>
        </w:rPr>
        <w:t xml:space="preserve">. Berlin 2005. </w:t>
      </w:r>
    </w:p>
  </w:footnote>
  <w:footnote w:id="9">
    <w:p w:rsidR="00360F4F" w:rsidRPr="00360F4F" w:rsidRDefault="00360F4F" w:rsidP="000A1820">
      <w:pPr>
        <w:spacing w:after="0" w:line="240" w:lineRule="auto"/>
        <w:rPr>
          <w:sz w:val="18"/>
        </w:rPr>
      </w:pPr>
      <w:r>
        <w:rPr>
          <w:rStyle w:val="Funotenzeichen"/>
        </w:rPr>
        <w:footnoteRef/>
      </w:r>
      <w:r>
        <w:t xml:space="preserve"> In dem Bericht des Komintern-Emissärs </w:t>
      </w:r>
      <w:proofErr w:type="spellStart"/>
      <w:r>
        <w:t>Bohumir</w:t>
      </w:r>
      <w:proofErr w:type="spellEnd"/>
      <w:r>
        <w:t xml:space="preserve"> </w:t>
      </w:r>
      <w:proofErr w:type="spellStart"/>
      <w:r>
        <w:rPr>
          <w:rFonts w:cs="Times New Roman"/>
        </w:rPr>
        <w:t>Š</w:t>
      </w:r>
      <w:r>
        <w:t>meral</w:t>
      </w:r>
      <w:proofErr w:type="spellEnd"/>
      <w:r>
        <w:t xml:space="preserve"> heißt es </w:t>
      </w:r>
      <w:r w:rsidR="000A1820">
        <w:t xml:space="preserve">über </w:t>
      </w:r>
      <w:r>
        <w:t xml:space="preserve">die Richtung, die die Entwicklung </w:t>
      </w:r>
      <w:r w:rsidR="000A1820">
        <w:t xml:space="preserve">der Volksfrontpolitik in Paris </w:t>
      </w:r>
      <w:r>
        <w:t xml:space="preserve">Anfang 1937 nimmt: „In den ersten Monaten nach meiner Ankunft [im Dezember 1936] war </w:t>
      </w:r>
      <w:r w:rsidRPr="00B22C10">
        <w:t>die uns nahestehende Gruppe der französischen Intellektuellen einem scharfen Drucke der trotzkist</w:t>
      </w:r>
      <w:r w:rsidRPr="00B22C10">
        <w:t>i</w:t>
      </w:r>
      <w:r w:rsidRPr="00B22C10">
        <w:t>schen Beeinflussung ausgesetzt</w:t>
      </w:r>
      <w:r>
        <w:t xml:space="preserve">. […] Professor [Victor] </w:t>
      </w:r>
      <w:proofErr w:type="spellStart"/>
      <w:r>
        <w:t>Basch</w:t>
      </w:r>
      <w:proofErr w:type="spellEnd"/>
      <w:r>
        <w:t xml:space="preserve"> </w:t>
      </w:r>
      <w:r w:rsidR="00892A88">
        <w:t>[der Präsident der Französischen Liga für Me</w:t>
      </w:r>
      <w:r w:rsidR="00892A88">
        <w:t>n</w:t>
      </w:r>
      <w:r w:rsidR="00892A88">
        <w:t xml:space="preserve">schenrechte] </w:t>
      </w:r>
      <w:r>
        <w:t xml:space="preserve">hat in den ersten Tagen des </w:t>
      </w:r>
      <w:proofErr w:type="spellStart"/>
      <w:r>
        <w:t>Pjatakow-Prozeßes</w:t>
      </w:r>
      <w:proofErr w:type="spellEnd"/>
      <w:r>
        <w:t xml:space="preserve"> </w:t>
      </w:r>
      <w:r w:rsidR="000A1820">
        <w:t xml:space="preserve">[Jan. 1937] </w:t>
      </w:r>
      <w:r>
        <w:t>eine Erklärung gegen die Sowjetjustiz unterschrieben und im ‚</w:t>
      </w:r>
      <w:proofErr w:type="spellStart"/>
      <w:r>
        <w:rPr>
          <w:rFonts w:cs="Times New Roman"/>
        </w:rPr>
        <w:t>Œ</w:t>
      </w:r>
      <w:r>
        <w:t>uvre</w:t>
      </w:r>
      <w:proofErr w:type="spellEnd"/>
      <w:r>
        <w:t xml:space="preserve">‘ veröffentlicht. […] Auch in der Organisation der Sowjetfreunde konnte </w:t>
      </w:r>
      <w:proofErr w:type="spellStart"/>
      <w:r>
        <w:t>Grenier</w:t>
      </w:r>
      <w:proofErr w:type="spellEnd"/>
      <w:r>
        <w:t xml:space="preserve"> nicht Unterschriften </w:t>
      </w:r>
      <w:r w:rsidR="000A1820">
        <w:t>b</w:t>
      </w:r>
      <w:r>
        <w:t xml:space="preserve">ekommen für eine Erklärung zugunsten der Sowjetjustiz.“ </w:t>
      </w:r>
      <w:r w:rsidR="000A1820">
        <w:t>Zusätzlich ha</w:t>
      </w:r>
      <w:r w:rsidR="00892A88">
        <w:t>be</w:t>
      </w:r>
      <w:r w:rsidR="000A1820">
        <w:t xml:space="preserve"> d</w:t>
      </w:r>
      <w:r>
        <w:t>ie „Unklarheit in der Frage Willi Münzenberg“ „Unruhe und Desorganisation“ zur Folge</w:t>
      </w:r>
      <w:r w:rsidR="000A1820">
        <w:t xml:space="preserve"> gehabt</w:t>
      </w:r>
      <w:r>
        <w:t xml:space="preserve">, da „Breitscheid, teilweise auch Heinrich Mann, […] mit Willi politisch und persönlich eng verbunden“ </w:t>
      </w:r>
      <w:r w:rsidR="00892A88">
        <w:t>sei</w:t>
      </w:r>
      <w:r>
        <w:t xml:space="preserve">en. Ein Kernsatz im Bericht, der die Bedrohlichkeit der politischen Lage umreißt, lautet: </w:t>
      </w:r>
      <w:r w:rsidR="000A1820" w:rsidRPr="000A1820">
        <w:t xml:space="preserve">„Was die Frage des Gen. Willi Münzenberg betrifft, kann ich ganz kurz formulieren: ich bin mir </w:t>
      </w:r>
      <w:proofErr w:type="spellStart"/>
      <w:r w:rsidR="000A1820" w:rsidRPr="000A1820">
        <w:t>bewußt</w:t>
      </w:r>
      <w:proofErr w:type="spellEnd"/>
      <w:r w:rsidR="000A1820" w:rsidRPr="000A1820">
        <w:t xml:space="preserve">, </w:t>
      </w:r>
      <w:proofErr w:type="spellStart"/>
      <w:r w:rsidR="000A1820" w:rsidRPr="000A1820">
        <w:t>daß</w:t>
      </w:r>
      <w:proofErr w:type="spellEnd"/>
      <w:r w:rsidR="000A1820" w:rsidRPr="000A1820">
        <w:t xml:space="preserve"> in der jetzigen Situation </w:t>
      </w:r>
      <w:r w:rsidR="00892A88">
        <w:t xml:space="preserve">[der Bericht ist auf den 5.1.1938 datiert] </w:t>
      </w:r>
      <w:r w:rsidR="000A1820" w:rsidRPr="000A1820">
        <w:t xml:space="preserve">ein Ausbruch eines jeden, wenn auch nur vorübergehenden Skandals, auf dem Pariser Boden unbequem ist.“ </w:t>
      </w:r>
      <w:r>
        <w:t xml:space="preserve">– Reinhard Müller: Bericht des Komintern-Emissärs </w:t>
      </w:r>
      <w:proofErr w:type="spellStart"/>
      <w:r>
        <w:t>Bohumir</w:t>
      </w:r>
      <w:proofErr w:type="spellEnd"/>
      <w:r>
        <w:t xml:space="preserve"> </w:t>
      </w:r>
      <w:proofErr w:type="spellStart"/>
      <w:r>
        <w:rPr>
          <w:rFonts w:cs="Times New Roman"/>
        </w:rPr>
        <w:t>Š</w:t>
      </w:r>
      <w:r>
        <w:t>meral</w:t>
      </w:r>
      <w:proofErr w:type="spellEnd"/>
      <w:r>
        <w:t xml:space="preserve"> über seinen </w:t>
      </w:r>
      <w:proofErr w:type="spellStart"/>
      <w:r>
        <w:t>Parisert</w:t>
      </w:r>
      <w:proofErr w:type="spellEnd"/>
      <w:r>
        <w:t xml:space="preserve"> Au</w:t>
      </w:r>
      <w:r>
        <w:t>f</w:t>
      </w:r>
      <w:r>
        <w:t xml:space="preserve">enthalt 1937 (Dokument). – In: </w:t>
      </w:r>
      <w:r>
        <w:rPr>
          <w:i/>
        </w:rPr>
        <w:t>Exilforschung</w:t>
      </w:r>
      <w:r>
        <w:t xml:space="preserve"> 9 </w:t>
      </w:r>
      <w:r>
        <w:rPr>
          <w:sz w:val="18"/>
        </w:rPr>
        <w:t>(1991), S. 236 – 261, hier S. 240 f.</w:t>
      </w:r>
      <w:r w:rsidR="000A1820">
        <w:rPr>
          <w:sz w:val="18"/>
        </w:rPr>
        <w:t xml:space="preserve"> u. 259.</w:t>
      </w:r>
    </w:p>
  </w:footnote>
  <w:footnote w:id="10">
    <w:p w:rsidR="00360F4F" w:rsidRPr="00FB626F" w:rsidRDefault="00360F4F" w:rsidP="00D207D8">
      <w:pPr>
        <w:pStyle w:val="Funotentext"/>
        <w:rPr>
          <w:rFonts w:cs="Times New Roman"/>
        </w:rPr>
      </w:pPr>
      <w:r>
        <w:rPr>
          <w:rStyle w:val="Funotenzeichen"/>
        </w:rPr>
        <w:footnoteRef/>
      </w:r>
      <w:r>
        <w:t xml:space="preserve"> </w:t>
      </w:r>
      <w:r w:rsidRPr="00FB626F">
        <w:rPr>
          <w:rFonts w:cs="Times New Roman"/>
        </w:rPr>
        <w:t>Der Bericht ist unterzeichnet von [Paul] Dreyfus und Berthold Jacob; er trägt das Datum vom 26. Februar 1937. Die Textgrundlage ist ein Exemplar dieses Berichtes im P. Walter Jacob-Archiv der Walter-A.-</w:t>
      </w:r>
      <w:proofErr w:type="spellStart"/>
      <w:r w:rsidRPr="00FB626F">
        <w:rPr>
          <w:rFonts w:cs="Times New Roman"/>
        </w:rPr>
        <w:t>Berendsohn</w:t>
      </w:r>
      <w:proofErr w:type="spellEnd"/>
      <w:r w:rsidRPr="00FB626F">
        <w:rPr>
          <w:rFonts w:cs="Times New Roman"/>
        </w:rPr>
        <w:t>-Forschungsstelle für deutsche Exilliteratur Hamburg, Kasten VIII b 450.</w:t>
      </w:r>
    </w:p>
    <w:p w:rsidR="00360F4F" w:rsidRPr="00FB626F" w:rsidRDefault="00360F4F" w:rsidP="00D207D8">
      <w:pPr>
        <w:pStyle w:val="Funotentext"/>
        <w:rPr>
          <w:rFonts w:cs="Times New Roman"/>
        </w:rPr>
      </w:pPr>
      <w:r w:rsidRPr="00FB626F">
        <w:rPr>
          <w:rFonts w:cs="Times New Roman"/>
        </w:rPr>
        <w:t xml:space="preserve">Das Mehrheitsvotum wurde von Robert Breuer, Ruth Fischer und Arkadij Maslow unterstützt. Es unterschied sich vom Minderheitenvotum nur dadurch, dass es der Redaktion des </w:t>
      </w:r>
      <w:r w:rsidRPr="00FB626F">
        <w:rPr>
          <w:rFonts w:cs="Times New Roman"/>
          <w:i/>
        </w:rPr>
        <w:t>Pariser Tageblatts</w:t>
      </w:r>
      <w:r w:rsidRPr="00FB626F">
        <w:rPr>
          <w:rFonts w:cs="Times New Roman"/>
        </w:rPr>
        <w:t xml:space="preserve"> ein Handeln „im guten Glauben“ zusprach. – Zu dem Gesamtkomplex vgl.</w:t>
      </w:r>
      <w:r w:rsidRPr="00FB626F">
        <w:rPr>
          <w:rFonts w:cs="Times New Roman"/>
          <w:sz w:val="24"/>
          <w:szCs w:val="24"/>
        </w:rPr>
        <w:t xml:space="preserve"> </w:t>
      </w:r>
      <w:r w:rsidRPr="00FB626F">
        <w:rPr>
          <w:rFonts w:cs="Times New Roman"/>
        </w:rPr>
        <w:t xml:space="preserve">Walter F. Peterson: </w:t>
      </w:r>
      <w:r w:rsidRPr="00FB626F">
        <w:rPr>
          <w:rFonts w:cs="Times New Roman"/>
          <w:i/>
          <w:iCs/>
        </w:rPr>
        <w:t xml:space="preserve">The Berlin liberal press in </w:t>
      </w:r>
      <w:proofErr w:type="spellStart"/>
      <w:r w:rsidRPr="00FB626F">
        <w:rPr>
          <w:rFonts w:cs="Times New Roman"/>
          <w:i/>
          <w:iCs/>
        </w:rPr>
        <w:t>exile</w:t>
      </w:r>
      <w:proofErr w:type="spellEnd"/>
      <w:r w:rsidRPr="00FB626F">
        <w:rPr>
          <w:rFonts w:cs="Times New Roman"/>
          <w:i/>
          <w:iCs/>
        </w:rPr>
        <w:t xml:space="preserve">. A </w:t>
      </w:r>
      <w:proofErr w:type="spellStart"/>
      <w:r w:rsidRPr="00FB626F">
        <w:rPr>
          <w:rFonts w:cs="Times New Roman"/>
          <w:i/>
          <w:iCs/>
        </w:rPr>
        <w:t>hist</w:t>
      </w:r>
      <w:r w:rsidRPr="00FB626F">
        <w:rPr>
          <w:rFonts w:cs="Times New Roman"/>
          <w:i/>
          <w:iCs/>
        </w:rPr>
        <w:t>o</w:t>
      </w:r>
      <w:r w:rsidRPr="00FB626F">
        <w:rPr>
          <w:rFonts w:cs="Times New Roman"/>
          <w:i/>
          <w:iCs/>
        </w:rPr>
        <w:t>ry</w:t>
      </w:r>
      <w:proofErr w:type="spellEnd"/>
      <w:r w:rsidRPr="00FB626F">
        <w:rPr>
          <w:rFonts w:cs="Times New Roman"/>
          <w:i/>
          <w:iCs/>
        </w:rPr>
        <w:t xml:space="preserve"> </w:t>
      </w:r>
      <w:proofErr w:type="spellStart"/>
      <w:r w:rsidRPr="00FB626F">
        <w:rPr>
          <w:rFonts w:cs="Times New Roman"/>
          <w:i/>
          <w:iCs/>
        </w:rPr>
        <w:t>of</w:t>
      </w:r>
      <w:proofErr w:type="spellEnd"/>
      <w:r w:rsidRPr="00FB626F">
        <w:rPr>
          <w:rFonts w:cs="Times New Roman"/>
          <w:i/>
          <w:iCs/>
        </w:rPr>
        <w:t xml:space="preserve"> </w:t>
      </w:r>
      <w:proofErr w:type="spellStart"/>
      <w:r w:rsidRPr="00FB626F">
        <w:rPr>
          <w:rFonts w:cs="Times New Roman"/>
          <w:i/>
          <w:iCs/>
        </w:rPr>
        <w:t>the</w:t>
      </w:r>
      <w:proofErr w:type="spellEnd"/>
      <w:r w:rsidRPr="00FB626F">
        <w:rPr>
          <w:rFonts w:cs="Times New Roman"/>
          <w:i/>
          <w:iCs/>
        </w:rPr>
        <w:t xml:space="preserve"> Pariser Tageblatt - Pariser Tageszeitung. 1933-1940</w:t>
      </w:r>
      <w:r w:rsidRPr="00FB626F">
        <w:rPr>
          <w:rFonts w:cs="Times New Roman"/>
        </w:rPr>
        <w:t xml:space="preserve">. Tübingen 1987; ferner </w:t>
      </w:r>
      <w:proofErr w:type="spellStart"/>
      <w:r w:rsidRPr="00FB626F">
        <w:rPr>
          <w:rFonts w:cs="Times New Roman"/>
        </w:rPr>
        <w:t>ders</w:t>
      </w:r>
      <w:proofErr w:type="spellEnd"/>
      <w:r w:rsidRPr="00FB626F">
        <w:rPr>
          <w:rFonts w:cs="Times New Roman"/>
        </w:rPr>
        <w:t>.: Das Dilemma link</w:t>
      </w:r>
      <w:r w:rsidRPr="00FB626F">
        <w:rPr>
          <w:rFonts w:cs="Times New Roman"/>
        </w:rPr>
        <w:t>s</w:t>
      </w:r>
      <w:r w:rsidRPr="00FB626F">
        <w:rPr>
          <w:rFonts w:cs="Times New Roman"/>
        </w:rPr>
        <w:t xml:space="preserve">liberaler deutscher Journalisten im Exil. Der Fall es „Pariser Tageblatts“. – In: </w:t>
      </w:r>
      <w:r w:rsidRPr="00FB626F">
        <w:rPr>
          <w:rFonts w:cs="Times New Roman"/>
          <w:i/>
        </w:rPr>
        <w:t>Vierteljahreshefte für Zeitg</w:t>
      </w:r>
      <w:r w:rsidRPr="00FB626F">
        <w:rPr>
          <w:rFonts w:cs="Times New Roman"/>
          <w:i/>
        </w:rPr>
        <w:t>e</w:t>
      </w:r>
      <w:r w:rsidRPr="00FB626F">
        <w:rPr>
          <w:rFonts w:cs="Times New Roman"/>
          <w:i/>
        </w:rPr>
        <w:t>schichte</w:t>
      </w:r>
      <w:r w:rsidRPr="00FB626F">
        <w:rPr>
          <w:rFonts w:cs="Times New Roman"/>
        </w:rPr>
        <w:t xml:space="preserve"> 32 (1984), H. 2, S. 169 – 288; ebenso </w:t>
      </w:r>
      <w:proofErr w:type="spellStart"/>
      <w:r w:rsidRPr="00FB626F">
        <w:rPr>
          <w:rFonts w:cs="Times New Roman"/>
        </w:rPr>
        <w:t>ders</w:t>
      </w:r>
      <w:proofErr w:type="spellEnd"/>
      <w:r w:rsidRPr="00FB626F">
        <w:rPr>
          <w:rFonts w:cs="Times New Roman"/>
        </w:rPr>
        <w:t xml:space="preserve">.: Das Scheitern des militanten Liberalismus im Exil anhand der </w:t>
      </w:r>
      <w:r w:rsidRPr="00FB626F">
        <w:rPr>
          <w:rFonts w:cs="Times New Roman"/>
          <w:i/>
        </w:rPr>
        <w:t>Pariser Tageblatt-</w:t>
      </w:r>
      <w:r w:rsidRPr="00FB626F">
        <w:rPr>
          <w:rFonts w:cs="Times New Roman"/>
        </w:rPr>
        <w:t xml:space="preserve">Affäre. – In: </w:t>
      </w:r>
      <w:proofErr w:type="spellStart"/>
      <w:r w:rsidRPr="00FB626F">
        <w:rPr>
          <w:rFonts w:cs="Times New Roman"/>
          <w:i/>
        </w:rPr>
        <w:t>Autour</w:t>
      </w:r>
      <w:proofErr w:type="spellEnd"/>
      <w:r w:rsidRPr="00FB626F">
        <w:rPr>
          <w:rFonts w:cs="Times New Roman"/>
          <w:i/>
        </w:rPr>
        <w:t xml:space="preserve"> du „Front </w:t>
      </w:r>
      <w:proofErr w:type="spellStart"/>
      <w:r w:rsidRPr="00FB626F">
        <w:rPr>
          <w:rFonts w:cs="Times New Roman"/>
          <w:i/>
        </w:rPr>
        <w:t>Populaire</w:t>
      </w:r>
      <w:proofErr w:type="spellEnd"/>
      <w:r w:rsidRPr="00FB626F">
        <w:rPr>
          <w:rFonts w:cs="Times New Roman"/>
          <w:i/>
        </w:rPr>
        <w:t xml:space="preserve"> </w:t>
      </w:r>
      <w:proofErr w:type="spellStart"/>
      <w:r w:rsidRPr="00FB626F">
        <w:rPr>
          <w:rFonts w:cs="Times New Roman"/>
          <w:i/>
        </w:rPr>
        <w:t>Allemand</w:t>
      </w:r>
      <w:proofErr w:type="spellEnd"/>
      <w:r w:rsidRPr="00FB626F">
        <w:rPr>
          <w:rFonts w:cs="Times New Roman"/>
          <w:i/>
        </w:rPr>
        <w:t xml:space="preserve">. Einheitsfront – Volksfront. </w:t>
      </w:r>
      <w:r w:rsidRPr="00FB626F">
        <w:rPr>
          <w:rFonts w:cs="Times New Roman"/>
        </w:rPr>
        <w:t xml:space="preserve">Hrsg. von Michel Grunewald u. Frithjof Trapp. Bern 1990, S. 133 – 148, sowie Lieselotte Maas: </w:t>
      </w:r>
      <w:r w:rsidRPr="00FB626F">
        <w:rPr>
          <w:rFonts w:cs="Times New Roman"/>
          <w:i/>
          <w:iCs/>
        </w:rPr>
        <w:t xml:space="preserve">Kurfürstendamm auf den </w:t>
      </w:r>
      <w:proofErr w:type="spellStart"/>
      <w:r w:rsidRPr="00FB626F">
        <w:rPr>
          <w:rFonts w:cs="Times New Roman"/>
          <w:i/>
          <w:iCs/>
        </w:rPr>
        <w:t>Champs-Elysées</w:t>
      </w:r>
      <w:proofErr w:type="spellEnd"/>
      <w:r w:rsidRPr="00FB626F">
        <w:rPr>
          <w:rFonts w:cs="Times New Roman"/>
          <w:i/>
          <w:iCs/>
        </w:rPr>
        <w:t>? Der Verlust von Realität und Moral beim Versuch einer Tageszeitung im Exil.</w:t>
      </w:r>
      <w:r w:rsidRPr="00FB626F">
        <w:rPr>
          <w:rFonts w:cs="Times New Roman"/>
        </w:rPr>
        <w:t xml:space="preserve"> In: </w:t>
      </w:r>
      <w:r w:rsidRPr="00FB626F">
        <w:rPr>
          <w:rFonts w:cs="Times New Roman"/>
          <w:i/>
        </w:rPr>
        <w:t>Exilfo</w:t>
      </w:r>
      <w:r w:rsidRPr="00FB626F">
        <w:rPr>
          <w:rFonts w:cs="Times New Roman"/>
          <w:i/>
        </w:rPr>
        <w:t>r</w:t>
      </w:r>
      <w:r w:rsidRPr="00FB626F">
        <w:rPr>
          <w:rFonts w:cs="Times New Roman"/>
          <w:i/>
        </w:rPr>
        <w:t>schung -Ein Internationales Jahrbuch.</w:t>
      </w:r>
      <w:r w:rsidRPr="00FB626F">
        <w:rPr>
          <w:rFonts w:cs="Times New Roman"/>
        </w:rPr>
        <w:t xml:space="preserve"> Bd. 3: </w:t>
      </w:r>
      <w:r w:rsidRPr="00FB626F">
        <w:rPr>
          <w:rFonts w:cs="Times New Roman"/>
          <w:i/>
          <w:iCs/>
        </w:rPr>
        <w:t>Gedanken an Deutschland im Exil und andere Themen.</w:t>
      </w:r>
      <w:r w:rsidRPr="00FB626F">
        <w:rPr>
          <w:rFonts w:cs="Times New Roman"/>
        </w:rPr>
        <w:t xml:space="preserve"> Hrsg. Gesellschaft für Exilforschung. München 1985, S.112 – 126.</w:t>
      </w:r>
    </w:p>
  </w:footnote>
  <w:footnote w:id="11">
    <w:p w:rsidR="00360F4F" w:rsidRPr="00837A8E" w:rsidRDefault="00360F4F" w:rsidP="00613AE5">
      <w:pPr>
        <w:pStyle w:val="Funotentext"/>
      </w:pPr>
      <w:r>
        <w:rPr>
          <w:rStyle w:val="Funotenzeichen"/>
        </w:rPr>
        <w:footnoteRef/>
      </w:r>
      <w:r>
        <w:t xml:space="preserve"> Richard </w:t>
      </w:r>
      <w:proofErr w:type="spellStart"/>
      <w:r>
        <w:t>Lewinsohn</w:t>
      </w:r>
      <w:proofErr w:type="spellEnd"/>
      <w:r>
        <w:t xml:space="preserve"> war am 12. Juni abends im Hofe der Druckerei überfallen und derart schwer verletzt wo</w:t>
      </w:r>
      <w:r>
        <w:t>r</w:t>
      </w:r>
      <w:r>
        <w:t xml:space="preserve">den, dass er seine Tätigkeit für das </w:t>
      </w:r>
      <w:r>
        <w:rPr>
          <w:i/>
        </w:rPr>
        <w:t xml:space="preserve">Pariser Tageblatt </w:t>
      </w:r>
      <w:r>
        <w:t xml:space="preserve">einstellen musste. Vgl. Bericht, S. 32. Im Bericht heißt es weiter: „Die Absicht, </w:t>
      </w:r>
      <w:proofErr w:type="spellStart"/>
      <w:r>
        <w:t>Lewinsohn</w:t>
      </w:r>
      <w:proofErr w:type="spellEnd"/>
      <w:r>
        <w:t xml:space="preserve"> oder jeden anderen, der das Blatt weiterführen wollte, durch Überfall unschä</w:t>
      </w:r>
      <w:r>
        <w:t>d</w:t>
      </w:r>
      <w:r>
        <w:t xml:space="preserve">lich zu machen, wird nicht bestritten“ (S. 33). - Zur Person von Richard </w:t>
      </w:r>
      <w:proofErr w:type="spellStart"/>
      <w:r>
        <w:t>Lewinsohn</w:t>
      </w:r>
      <w:proofErr w:type="spellEnd"/>
      <w:r>
        <w:t xml:space="preserve"> vgl. Röder/</w:t>
      </w:r>
      <w:proofErr w:type="spellStart"/>
      <w:r>
        <w:t>Strauss</w:t>
      </w:r>
      <w:proofErr w:type="spellEnd"/>
      <w:r>
        <w:t xml:space="preserve">: </w:t>
      </w:r>
      <w:r>
        <w:rPr>
          <w:i/>
        </w:rPr>
        <w:t>Han</w:t>
      </w:r>
      <w:r>
        <w:rPr>
          <w:i/>
        </w:rPr>
        <w:t>d</w:t>
      </w:r>
      <w:r>
        <w:rPr>
          <w:i/>
        </w:rPr>
        <w:t>buch</w:t>
      </w:r>
      <w:r>
        <w:t>, Bd. 2, S. 722.</w:t>
      </w:r>
    </w:p>
  </w:footnote>
  <w:footnote w:id="12">
    <w:p w:rsidR="00360F4F" w:rsidRPr="00116AF9" w:rsidRDefault="00360F4F">
      <w:pPr>
        <w:pStyle w:val="Funotentext"/>
      </w:pPr>
      <w:r>
        <w:rPr>
          <w:rStyle w:val="Funotenzeichen"/>
        </w:rPr>
        <w:footnoteRef/>
      </w:r>
      <w:r>
        <w:t xml:space="preserve"> Peterson: Das Dilemma, a.a.O., S. 283 ff. – Heinrich Mann schreibt dazu am 24. Juli 1937 an Rudolf </w:t>
      </w:r>
      <w:proofErr w:type="spellStart"/>
      <w:r>
        <w:t>Olden</w:t>
      </w:r>
      <w:proofErr w:type="spellEnd"/>
      <w:r>
        <w:t xml:space="preserve">: „Was Sie ‚Stunk‘ nennen, blüht gerade jetzt in der Pariser Emigration, wie Sie wissen. Die Einen bilden einen Club der Sauberen, wir Unsauberen haben auch unsere Sorgen.“ In: </w:t>
      </w:r>
      <w:r>
        <w:rPr>
          <w:i/>
        </w:rPr>
        <w:t>Der deutsche PEN-Club im Exil: 1933 – 1948.</w:t>
      </w:r>
      <w:r>
        <w:t xml:space="preserve"> Ausstellung der Deutschen Bibliothek, Frankfurt a.M. Katalog: Werner Berthold u. Brita Eckert. Frankfurt a.M. 1980, S. 182.</w:t>
      </w:r>
    </w:p>
  </w:footnote>
  <w:footnote w:id="13">
    <w:p w:rsidR="00360F4F" w:rsidRDefault="00360F4F">
      <w:pPr>
        <w:pStyle w:val="Funotentext"/>
      </w:pPr>
      <w:r>
        <w:rPr>
          <w:rStyle w:val="Funotenzeichen"/>
        </w:rPr>
        <w:footnoteRef/>
      </w:r>
      <w:r>
        <w:t xml:space="preserve"> Bericht der Minderheit […], S. 1 f.</w:t>
      </w:r>
    </w:p>
  </w:footnote>
  <w:footnote w:id="14">
    <w:p w:rsidR="00360F4F" w:rsidRDefault="00360F4F">
      <w:pPr>
        <w:pStyle w:val="Funotentext"/>
      </w:pPr>
      <w:r>
        <w:rPr>
          <w:rStyle w:val="Funotenzeichen"/>
        </w:rPr>
        <w:footnoteRef/>
      </w:r>
      <w:r>
        <w:t xml:space="preserve"> Zur Person von Bernhard und </w:t>
      </w:r>
      <w:proofErr w:type="spellStart"/>
      <w:r>
        <w:t>Caro</w:t>
      </w:r>
      <w:proofErr w:type="spellEnd"/>
      <w:r>
        <w:t xml:space="preserve"> vgl. Röder/</w:t>
      </w:r>
      <w:proofErr w:type="spellStart"/>
      <w:r>
        <w:t>Strauss</w:t>
      </w:r>
      <w:proofErr w:type="spellEnd"/>
      <w:r>
        <w:t xml:space="preserve">: </w:t>
      </w:r>
      <w:r>
        <w:rPr>
          <w:i/>
        </w:rPr>
        <w:t>Handbuch</w:t>
      </w:r>
      <w:r>
        <w:t>, Bd. 1, S. 58 f. u. 108 f.</w:t>
      </w:r>
    </w:p>
  </w:footnote>
  <w:footnote w:id="15">
    <w:p w:rsidR="00360F4F" w:rsidRDefault="00360F4F">
      <w:pPr>
        <w:pStyle w:val="Funotentext"/>
      </w:pPr>
      <w:r>
        <w:rPr>
          <w:rStyle w:val="Funotenzeichen"/>
        </w:rPr>
        <w:footnoteRef/>
      </w:r>
      <w:r>
        <w:t xml:space="preserve"> Zur Finanzierung vgl. Bericht, S. 10; die Gesamtbelastung </w:t>
      </w:r>
      <w:proofErr w:type="spellStart"/>
      <w:r>
        <w:t>Poliakoffs</w:t>
      </w:r>
      <w:proofErr w:type="spellEnd"/>
      <w:r>
        <w:t xml:space="preserve"> betrug 385.000 Francs, die nach dem zweiten Geschäftsjahr auf 277.000 Francs gesunken war (S. 34).</w:t>
      </w:r>
    </w:p>
  </w:footnote>
  <w:footnote w:id="16">
    <w:p w:rsidR="00360F4F" w:rsidRPr="00F304D3" w:rsidRDefault="00360F4F">
      <w:pPr>
        <w:pStyle w:val="Funotentext"/>
      </w:pPr>
      <w:r>
        <w:rPr>
          <w:rStyle w:val="Funotenzeichen"/>
        </w:rPr>
        <w:footnoteRef/>
      </w:r>
      <w:r>
        <w:t xml:space="preserve"> Im Bericht heißt es: „Es unterliegt keinem Zweifel, dass die Tendenz des </w:t>
      </w:r>
      <w:r>
        <w:rPr>
          <w:i/>
        </w:rPr>
        <w:t>Pariser Tageblatt</w:t>
      </w:r>
      <w:r>
        <w:t>, Hitler zu bekäm</w:t>
      </w:r>
      <w:r>
        <w:t>p</w:t>
      </w:r>
      <w:r>
        <w:t xml:space="preserve">fen, unter der Redaktion </w:t>
      </w:r>
      <w:proofErr w:type="spellStart"/>
      <w:r>
        <w:t>Lewinsohn</w:t>
      </w:r>
      <w:proofErr w:type="spellEnd"/>
      <w:r>
        <w:t xml:space="preserve"> die gleiche geblieben wäre.“ (S. 13) </w:t>
      </w:r>
    </w:p>
  </w:footnote>
  <w:footnote w:id="17">
    <w:p w:rsidR="00360F4F" w:rsidRDefault="00360F4F">
      <w:pPr>
        <w:pStyle w:val="Funotentext"/>
      </w:pPr>
      <w:r>
        <w:rPr>
          <w:rStyle w:val="Funotenzeichen"/>
        </w:rPr>
        <w:footnoteRef/>
      </w:r>
      <w:r>
        <w:t xml:space="preserve"> Im Bericht heißt es hierzu: „Als der Sohn </w:t>
      </w:r>
      <w:proofErr w:type="spellStart"/>
      <w:r>
        <w:t>Poliakoffs</w:t>
      </w:r>
      <w:proofErr w:type="spellEnd"/>
      <w:r>
        <w:t xml:space="preserve"> [i.e. der heute international berühmte Antisemitismus-Forscher Léon </w:t>
      </w:r>
      <w:proofErr w:type="spellStart"/>
      <w:r>
        <w:t>Poliakov</w:t>
      </w:r>
      <w:proofErr w:type="spellEnd"/>
      <w:r>
        <w:t>] wegen einer vernünftigeren Haltung des Blattes gegenüber dem Dritten Reich sondie</w:t>
      </w:r>
      <w:r>
        <w:t>r</w:t>
      </w:r>
      <w:r>
        <w:t xml:space="preserve">te, nicht im Sinne der Versöhnlichkeit, sondern um ein höheres Niveau zu erzielen, wurde er nach Bekundungen Bernhards und besonders </w:t>
      </w:r>
      <w:proofErr w:type="spellStart"/>
      <w:r>
        <w:t>Caros</w:t>
      </w:r>
      <w:proofErr w:type="spellEnd"/>
      <w:r>
        <w:t xml:space="preserve"> ‚glatt abfallen‘ gelassen. (Kommissionssitzung vom 29. November 1936) Noch nicht einmal dem Handelsteil gegenüber versuchte </w:t>
      </w:r>
      <w:proofErr w:type="spellStart"/>
      <w:r>
        <w:t>Poliakoff</w:t>
      </w:r>
      <w:proofErr w:type="spellEnd"/>
      <w:r>
        <w:t xml:space="preserve"> als Kaufmann oder Spekulant Einfluss zu nehmen; was naheliegend gewesen wäre“ (S. 37).</w:t>
      </w:r>
    </w:p>
  </w:footnote>
  <w:footnote w:id="18">
    <w:p w:rsidR="00360F4F" w:rsidRPr="00012515" w:rsidRDefault="00360F4F" w:rsidP="00E802FB">
      <w:pPr>
        <w:spacing w:after="0" w:line="240" w:lineRule="auto"/>
      </w:pPr>
      <w:r>
        <w:rPr>
          <w:rStyle w:val="Funotenzeichen"/>
        </w:rPr>
        <w:footnoteRef/>
      </w:r>
      <w:r>
        <w:t xml:space="preserve"> Zu den journalistischen Schwächen des </w:t>
      </w:r>
      <w:r>
        <w:rPr>
          <w:i/>
        </w:rPr>
        <w:t>Pariser Tageblatts</w:t>
      </w:r>
      <w:r>
        <w:t xml:space="preserve"> vgl. den Artikel von Lieselotte Maas. Sie sagt: </w:t>
      </w:r>
      <w:r w:rsidRPr="00012515">
        <w:t>„Wenn emigrierte deutsche Journalisten Nachrichten aus dem Staat Hitlers als eine Tagesssensation wie jede andere aufmachten oder Klatsch und Tratsch aus dem Privatleben von Nazi-Größen wie selbstverständliche über die internationale Prominenz veröffentlichten, verwirkten sie damit den selbstgesetzten Anspruch, eine ‚scharfe geistige Waffe … gegen die Unkultur des Dritten Reiches‘ zu sein</w:t>
      </w:r>
      <w:r>
        <w:t>‘</w:t>
      </w:r>
      <w:r w:rsidRPr="00012515">
        <w:t xml:space="preserve">“ (S. 112). </w:t>
      </w:r>
    </w:p>
  </w:footnote>
  <w:footnote w:id="19">
    <w:p w:rsidR="00360F4F" w:rsidRDefault="00360F4F" w:rsidP="00295372">
      <w:pPr>
        <w:pStyle w:val="Funotentext"/>
      </w:pPr>
      <w:r>
        <w:rPr>
          <w:rStyle w:val="Funotenzeichen"/>
        </w:rPr>
        <w:footnoteRef/>
      </w:r>
      <w:r>
        <w:t xml:space="preserve"> Zum „Arrest“ vgl. Bericht, S. 29; zu den grundsätzlichen Fragen des Verhältnisses zwischen Verleger und Redaktion vgl. Bericht, S. 12. </w:t>
      </w:r>
    </w:p>
  </w:footnote>
  <w:footnote w:id="20">
    <w:p w:rsidR="00360F4F" w:rsidRDefault="00360F4F">
      <w:pPr>
        <w:pStyle w:val="Funotentext"/>
      </w:pPr>
      <w:r>
        <w:rPr>
          <w:rStyle w:val="Funotenzeichen"/>
        </w:rPr>
        <w:footnoteRef/>
      </w:r>
      <w:r>
        <w:t xml:space="preserve"> Vgl. hierzu die Ausführungen zur Rolle des Deputierten Salomon </w:t>
      </w:r>
      <w:proofErr w:type="spellStart"/>
      <w:r>
        <w:t>Grumbach</w:t>
      </w:r>
      <w:proofErr w:type="spellEnd"/>
      <w:r>
        <w:t xml:space="preserve"> als Gewährsmann für die Ric</w:t>
      </w:r>
      <w:r>
        <w:t>h</w:t>
      </w:r>
      <w:r>
        <w:t xml:space="preserve">tigkeit der Beschuldigungen (Bericht, S. 4 – 7). Im Zentrum steht folgende Feststellung: „Die Aussage </w:t>
      </w:r>
      <w:proofErr w:type="spellStart"/>
      <w:r>
        <w:t>Gru</w:t>
      </w:r>
      <w:r>
        <w:t>m</w:t>
      </w:r>
      <w:r>
        <w:t>bachs</w:t>
      </w:r>
      <w:proofErr w:type="spellEnd"/>
      <w:r>
        <w:t xml:space="preserve"> enthält […] lediglich die Behauptung, dass Unterlagen vorhanden sind oder waren, die das Recht der R</w:t>
      </w:r>
      <w:r>
        <w:t>e</w:t>
      </w:r>
      <w:r>
        <w:t xml:space="preserve">daktion zu ihrer Handlung begründen. Einen Hinweis darauf, ob diese Unterlagen noch vorhanden sind, d.h. dass die Behauptung […] der Prüfung durch die Behörde standgehalten hat, gibt </w:t>
      </w:r>
      <w:proofErr w:type="spellStart"/>
      <w:r>
        <w:t>Grumbach</w:t>
      </w:r>
      <w:proofErr w:type="spellEnd"/>
      <w:r>
        <w:t xml:space="preserve"> nicht. Es drängt sich demnach das […] bereits prinzipiell erwähnte tatsächliche Bedenken auf, dass das nicht wahrscheinlich ist, da </w:t>
      </w:r>
      <w:proofErr w:type="spellStart"/>
      <w:r>
        <w:t>Poliakoff</w:t>
      </w:r>
      <w:proofErr w:type="spellEnd"/>
      <w:r>
        <w:t xml:space="preserve"> andernfalls von der Behörde Schwierigkeiten gemacht worden wären. So ist z.B. in der </w:t>
      </w:r>
      <w:proofErr w:type="spellStart"/>
      <w:r>
        <w:t>Affaire</w:t>
      </w:r>
      <w:proofErr w:type="spellEnd"/>
      <w:r>
        <w:t xml:space="preserve"> ‚Wes</w:t>
      </w:r>
      <w:r>
        <w:t>t</w:t>
      </w:r>
      <w:r>
        <w:t xml:space="preserve">land‘ </w:t>
      </w:r>
      <w:proofErr w:type="spellStart"/>
      <w:r>
        <w:t>Weissenberg</w:t>
      </w:r>
      <w:proofErr w:type="spellEnd"/>
      <w:r>
        <w:t xml:space="preserve">, der mit einem Vertreter des deutschen Propagandaministeriums die Verhandlungen über den Verkauf dieses Blattes hinter dem Rücken der Redaktion geführt hatte, im November 1934 ausgewiesen worden. Da </w:t>
      </w:r>
      <w:proofErr w:type="spellStart"/>
      <w:r>
        <w:t>Grumbach</w:t>
      </w:r>
      <w:proofErr w:type="spellEnd"/>
      <w:r>
        <w:t xml:space="preserve"> […] diese Behauptung nicht durch Unterlagen oder auch nur durch nähere Angaben stützt, ist […] der Schluss gestattet, dass er dies nicht tun wollte.“ (S. 6)</w:t>
      </w:r>
    </w:p>
  </w:footnote>
  <w:footnote w:id="21">
    <w:p w:rsidR="00360F4F" w:rsidRDefault="00360F4F">
      <w:pPr>
        <w:pStyle w:val="Funotentext"/>
      </w:pPr>
      <w:r>
        <w:rPr>
          <w:rStyle w:val="Funotenzeichen"/>
        </w:rPr>
        <w:footnoteRef/>
      </w:r>
      <w:r>
        <w:t xml:space="preserve"> Der Bericht vermeidet es strikt, einen derartigen Verdacht auch nur zu formulieren. Man darf jedoch davon ausgehen, dass alle beteiligten Journalisten wussten, dass ein derartiger Coup wie die Übernahme einer Tage</w:t>
      </w:r>
      <w:r>
        <w:t>s</w:t>
      </w:r>
      <w:r>
        <w:t>zeitung normalerweise nur mit dem flankierenden Schutz einflussreicher Politiker möglich ist.</w:t>
      </w:r>
    </w:p>
  </w:footnote>
  <w:footnote w:id="22">
    <w:p w:rsidR="00360F4F" w:rsidRPr="00972A5C" w:rsidRDefault="00360F4F">
      <w:pPr>
        <w:pStyle w:val="Funotentext"/>
      </w:pPr>
      <w:r>
        <w:rPr>
          <w:rStyle w:val="Funotenzeichen"/>
        </w:rPr>
        <w:footnoteRef/>
      </w:r>
      <w:r>
        <w:t xml:space="preserve"> Schwarzschild sagt auf der Sitzung der Kommission: „Ich habe nur gesehen: hier soll hintertrieben werden, die Wahrheit festzustellen. Zu welchem Zweck, </w:t>
      </w:r>
      <w:proofErr w:type="spellStart"/>
      <w:r>
        <w:t>weiss</w:t>
      </w:r>
      <w:proofErr w:type="spellEnd"/>
      <w:r>
        <w:t xml:space="preserve"> ich nicht.“ Darauf antwortet Robert Breuer: „Für mich bleibt übrig, dass Herr Schwarzschild, von seinem Standpunkt aus berechtigt, von meinem aus problematisch, sich zum alleinigen Richter in einer Sache etabliert, bei der die Mehrheit der Emigration es für richtig hielt nicht zu sagen. </w:t>
      </w:r>
      <w:r w:rsidRPr="00972A5C">
        <w:rPr>
          <w:i/>
        </w:rPr>
        <w:t>Die Dinge sollten doch abge</w:t>
      </w:r>
      <w:r>
        <w:rPr>
          <w:i/>
        </w:rPr>
        <w:t>bo</w:t>
      </w:r>
      <w:r w:rsidRPr="00972A5C">
        <w:rPr>
          <w:i/>
        </w:rPr>
        <w:t>gen werden</w:t>
      </w:r>
      <w:r w:rsidRPr="00972A5C">
        <w:t>.</w:t>
      </w:r>
      <w:r>
        <w:t>“</w:t>
      </w:r>
      <w:r w:rsidRPr="00972A5C">
        <w:t xml:space="preserve"> </w:t>
      </w:r>
      <w:r>
        <w:t>(Bericht, S. 39 – Hervorhebung F.T.)</w:t>
      </w:r>
    </w:p>
  </w:footnote>
  <w:footnote w:id="23">
    <w:p w:rsidR="00360F4F" w:rsidRDefault="00360F4F">
      <w:pPr>
        <w:pStyle w:val="Funotentext"/>
      </w:pPr>
      <w:r>
        <w:rPr>
          <w:rStyle w:val="Funotenzeichen"/>
        </w:rPr>
        <w:footnoteRef/>
      </w:r>
      <w:r>
        <w:t xml:space="preserve"> Bericht, S. 11.</w:t>
      </w:r>
    </w:p>
  </w:footnote>
  <w:footnote w:id="24">
    <w:p w:rsidR="00360F4F" w:rsidRDefault="00360F4F">
      <w:pPr>
        <w:pStyle w:val="Funotentext"/>
      </w:pPr>
      <w:r>
        <w:rPr>
          <w:rStyle w:val="Funotenzeichen"/>
        </w:rPr>
        <w:footnoteRef/>
      </w:r>
      <w:r>
        <w:t xml:space="preserve"> Bericht, S. 12.</w:t>
      </w:r>
    </w:p>
  </w:footnote>
  <w:footnote w:id="25">
    <w:p w:rsidR="00360F4F" w:rsidRPr="0082776C" w:rsidRDefault="00360F4F">
      <w:pPr>
        <w:pStyle w:val="Funotentext"/>
      </w:pPr>
      <w:r>
        <w:rPr>
          <w:rStyle w:val="Funotenzeichen"/>
        </w:rPr>
        <w:footnoteRef/>
      </w:r>
      <w:r>
        <w:t xml:space="preserve"> Ein beklemmendes Faktum ist, dass anschließend auch Leopold Schwarzschild Opfer einer gezielt eingeset</w:t>
      </w:r>
      <w:r>
        <w:t>z</w:t>
      </w:r>
      <w:r>
        <w:t>ten Verleumdung wurde. Der Ausgangspunkt sind hier die „Geständnisse“, die Grundlage für die bei den Mo</w:t>
      </w:r>
      <w:r>
        <w:t>s</w:t>
      </w:r>
      <w:r>
        <w:t>kauer Prozessen verhängten Todesurteile waren bzw. die Mutmaßungen, die sich an das Zustandekommen der Geständnisse knüpften. Hans-Albert Walter sagt dazu: „Was Schwarzschild persönlich betrifft, so kam Bösarti</w:t>
      </w:r>
      <w:r>
        <w:t>g</w:t>
      </w:r>
      <w:r>
        <w:t>keit erst in seinen Ton, als ihn exilierte Kommunisten mittels einer ebenso plumpen wie schnell entlarvten Fä</w:t>
      </w:r>
      <w:r>
        <w:t>l</w:t>
      </w:r>
      <w:r>
        <w:t xml:space="preserve">schung beschuldigten, im Solde von Goebbels zu stehen“ (Hans-Albert Walter: </w:t>
      </w:r>
      <w:r>
        <w:rPr>
          <w:i/>
        </w:rPr>
        <w:t>Deutsche Exilliteratur.</w:t>
      </w:r>
      <w:r>
        <w:t xml:space="preserve"> Bd. 4: </w:t>
      </w:r>
      <w:r>
        <w:rPr>
          <w:i/>
        </w:rPr>
        <w:t>Exilpresse</w:t>
      </w:r>
      <w:r>
        <w:t>, a.a.O., S. 104, zum Vorgang selber s. S. 749 f., Anm. 61).</w:t>
      </w:r>
    </w:p>
  </w:footnote>
  <w:footnote w:id="26">
    <w:p w:rsidR="00360F4F" w:rsidRDefault="00360F4F" w:rsidP="00D7632A">
      <w:pPr>
        <w:spacing w:after="0" w:line="240" w:lineRule="auto"/>
      </w:pPr>
      <w:r>
        <w:rPr>
          <w:rStyle w:val="Funotenzeichen"/>
        </w:rPr>
        <w:footnoteRef/>
      </w:r>
      <w:r>
        <w:t xml:space="preserve"> Vgl. hierzu Albrecht Betz: </w:t>
      </w:r>
      <w:r>
        <w:rPr>
          <w:i/>
        </w:rPr>
        <w:t>Exil und Engagement.</w:t>
      </w:r>
      <w:r>
        <w:t xml:space="preserve"> Deutsche Schriftsteller im Frankreich der dreißiger Jahre. München 1986, S. 126 – 132. Ebenso Claus Leggewie: Zurück aus </w:t>
      </w:r>
      <w:proofErr w:type="spellStart"/>
      <w:r>
        <w:t>Sowjetrußland</w:t>
      </w:r>
      <w:proofErr w:type="spellEnd"/>
      <w:r>
        <w:t>? Die Reiseberichte der radik</w:t>
      </w:r>
      <w:r>
        <w:t>a</w:t>
      </w:r>
      <w:r>
        <w:t xml:space="preserve">len Touristen André Gide und Lion Feuchtwanger 1936/37. – In: </w:t>
      </w:r>
      <w:r>
        <w:rPr>
          <w:i/>
        </w:rPr>
        <w:t xml:space="preserve">André Gide und Deutschland / André Gide et </w:t>
      </w:r>
      <w:proofErr w:type="spellStart"/>
      <w:r>
        <w:rPr>
          <w:i/>
        </w:rPr>
        <w:t>l’Allemagne</w:t>
      </w:r>
      <w:proofErr w:type="spellEnd"/>
      <w:r>
        <w:rPr>
          <w:i/>
        </w:rPr>
        <w:t>.</w:t>
      </w:r>
      <w:r>
        <w:t xml:space="preserve"> Hrsg. von Hans T. </w:t>
      </w:r>
      <w:proofErr w:type="spellStart"/>
      <w:r>
        <w:t>Siepe</w:t>
      </w:r>
      <w:proofErr w:type="spellEnd"/>
      <w:r>
        <w:t xml:space="preserve"> u. Raimund Theis. Düsseldorf 1992, S. 265 – 279, hier S. 276, Anm. 5. </w:t>
      </w:r>
    </w:p>
  </w:footnote>
  <w:footnote w:id="27">
    <w:p w:rsidR="00360F4F" w:rsidRPr="00AD308E" w:rsidRDefault="00360F4F" w:rsidP="00AD308E">
      <w:pPr>
        <w:spacing w:after="0" w:line="240" w:lineRule="auto"/>
      </w:pPr>
      <w:r>
        <w:rPr>
          <w:rStyle w:val="Funotenzeichen"/>
        </w:rPr>
        <w:footnoteRef/>
      </w:r>
      <w:r>
        <w:t xml:space="preserve"> Charakteristische Beispiele sind die Rezensionen von Lion Feuchtwanger und Alfred </w:t>
      </w:r>
      <w:proofErr w:type="spellStart"/>
      <w:r>
        <w:t>Kurella</w:t>
      </w:r>
      <w:proofErr w:type="spellEnd"/>
      <w:r>
        <w:t xml:space="preserve"> in </w:t>
      </w:r>
      <w:r>
        <w:rPr>
          <w:i/>
        </w:rPr>
        <w:t>Das Wort</w:t>
      </w:r>
      <w:r>
        <w:t xml:space="preserve"> bzw. in der </w:t>
      </w:r>
      <w:r>
        <w:rPr>
          <w:i/>
        </w:rPr>
        <w:t>Internationalen Literatur</w:t>
      </w:r>
      <w:r>
        <w:t xml:space="preserve"> (</w:t>
      </w:r>
      <w:r w:rsidRPr="00AD308E">
        <w:t xml:space="preserve">Lion Feuchtwanger: Der Ästhet in der Sowjetunion. – In: </w:t>
      </w:r>
      <w:r w:rsidRPr="00AD308E">
        <w:rPr>
          <w:i/>
        </w:rPr>
        <w:t>Das Wort</w:t>
      </w:r>
      <w:r w:rsidRPr="00AD308E">
        <w:t xml:space="preserve"> 1937, H. 2, S. 86 – 88.</w:t>
      </w:r>
      <w:r>
        <w:t xml:space="preserve">; </w:t>
      </w:r>
      <w:r w:rsidRPr="00AD308E">
        <w:t xml:space="preserve">Alfred </w:t>
      </w:r>
      <w:proofErr w:type="spellStart"/>
      <w:r w:rsidRPr="00AD308E">
        <w:t>Kurella</w:t>
      </w:r>
      <w:proofErr w:type="spellEnd"/>
      <w:r w:rsidRPr="00AD308E">
        <w:t xml:space="preserve">: Schlechte Nahrung. – In: </w:t>
      </w:r>
      <w:r w:rsidRPr="00AD308E">
        <w:rPr>
          <w:i/>
        </w:rPr>
        <w:t>IL</w:t>
      </w:r>
      <w:r w:rsidRPr="00AD308E">
        <w:t xml:space="preserve"> 7 (1937), H. 1, S. 127 – 134.</w:t>
      </w:r>
    </w:p>
  </w:footnote>
  <w:footnote w:id="28">
    <w:p w:rsidR="00360F4F" w:rsidRPr="00131C61" w:rsidRDefault="00360F4F" w:rsidP="00AD308E">
      <w:pPr>
        <w:pStyle w:val="Funotentext"/>
      </w:pPr>
      <w:r>
        <w:rPr>
          <w:rStyle w:val="Funotenzeichen"/>
        </w:rPr>
        <w:footnoteRef/>
      </w:r>
      <w:r>
        <w:t xml:space="preserve"> Gide hatte auf dem Kongress gesagt: „Die UdSSR bietet uns heute ein beispielloses Schauspiel von gewalt</w:t>
      </w:r>
      <w:r>
        <w:t>i</w:t>
      </w:r>
      <w:r>
        <w:t>ger, unerwarteter, ich wage zu sagen exemplarischer Bedeutung. Das eines Landes, wo der Schriftsteller in d</w:t>
      </w:r>
      <w:r>
        <w:t>i</w:t>
      </w:r>
      <w:r>
        <w:t>rekte Verbindung mit seinen Lesern treten kann. Statt gegen den Strom zu schwimmen, wie wir es tun müssen, braucht er sich nur tragen zu lassen. Er kann in der ihn umgebenden Realität gleichzeitig Inspiration, Diktat und unmittelbares Echo seines Werkes finden“ (</w:t>
      </w:r>
      <w:r>
        <w:rPr>
          <w:i/>
        </w:rPr>
        <w:t>Paris 1935</w:t>
      </w:r>
      <w:r>
        <w:t>, S. 128 f.). An anderer Stelle heißt es: „Nur die Gegner des Kommunismus können in ihm einen Willen zur Uniformierung erblicken. Was wir von ihm erwarten und was uns die UdSSR nach einer harten Zeit der Kämpfe und des zeitweiligen Zwanges zum Zwecke vollkomm</w:t>
      </w:r>
      <w:r>
        <w:t>e</w:t>
      </w:r>
      <w:r>
        <w:t xml:space="preserve">ner Befreiung zu zeigen beginnt, ist ein Gesellschaftszustand, der die größtmögliche Entfaltung jedes Menschen, das </w:t>
      </w:r>
      <w:proofErr w:type="spellStart"/>
      <w:r>
        <w:t>Zutagebringen</w:t>
      </w:r>
      <w:proofErr w:type="spellEnd"/>
      <w:r>
        <w:t xml:space="preserve"> und Wirksamwerden all seiner Möglichkeiten gestattet. In unserem traurigen Abendland […] sind wir davon noch weit entfernt“ (S. 129 f.). </w:t>
      </w:r>
    </w:p>
  </w:footnote>
  <w:footnote w:id="29">
    <w:p w:rsidR="00360F4F" w:rsidRDefault="00360F4F">
      <w:pPr>
        <w:pStyle w:val="Funotentext"/>
      </w:pPr>
      <w:r>
        <w:rPr>
          <w:rStyle w:val="Funotenzeichen"/>
        </w:rPr>
        <w:footnoteRef/>
      </w:r>
      <w:r>
        <w:t xml:space="preserve"> Ebd., S. 129.</w:t>
      </w:r>
    </w:p>
  </w:footnote>
  <w:footnote w:id="30">
    <w:p w:rsidR="00360F4F" w:rsidRPr="00690C13" w:rsidRDefault="00360F4F" w:rsidP="002A20F0">
      <w:pPr>
        <w:pStyle w:val="Funotentext"/>
      </w:pPr>
      <w:r>
        <w:rPr>
          <w:rStyle w:val="Funotenzeichen"/>
        </w:rPr>
        <w:footnoteRef/>
      </w:r>
      <w:r>
        <w:t xml:space="preserve"> Zitate nach André Gide: </w:t>
      </w:r>
      <w:r>
        <w:rPr>
          <w:i/>
        </w:rPr>
        <w:t xml:space="preserve">Gesammelte Werke </w:t>
      </w:r>
      <w:r>
        <w:t xml:space="preserve">VI: </w:t>
      </w:r>
      <w:r>
        <w:rPr>
          <w:i/>
        </w:rPr>
        <w:t>Reisen und Politik.</w:t>
      </w:r>
      <w:r>
        <w:t xml:space="preserve"> Hrsg. von Raimund Theis u. Peter </w:t>
      </w:r>
      <w:proofErr w:type="spellStart"/>
      <w:r>
        <w:t>Schn</w:t>
      </w:r>
      <w:r>
        <w:t>y</w:t>
      </w:r>
      <w:r>
        <w:t>der</w:t>
      </w:r>
      <w:proofErr w:type="spellEnd"/>
      <w:r>
        <w:t xml:space="preserve">. 2. Bd.: </w:t>
      </w:r>
      <w:r>
        <w:rPr>
          <w:i/>
        </w:rPr>
        <w:t xml:space="preserve">Zurück aus </w:t>
      </w:r>
      <w:proofErr w:type="spellStart"/>
      <w:r>
        <w:rPr>
          <w:i/>
        </w:rPr>
        <w:t>Sowjetrußland</w:t>
      </w:r>
      <w:proofErr w:type="spellEnd"/>
      <w:r>
        <w:rPr>
          <w:i/>
        </w:rPr>
        <w:t xml:space="preserve"> [u.a.], </w:t>
      </w:r>
      <w:r>
        <w:t xml:space="preserve">Stuttgart 1996. Auf </w:t>
      </w:r>
      <w:r>
        <w:rPr>
          <w:i/>
        </w:rPr>
        <w:t>Retour</w:t>
      </w:r>
      <w:r>
        <w:t xml:space="preserve"> entfallen die Seiten 44 – 116, auf </w:t>
      </w:r>
      <w:proofErr w:type="spellStart"/>
      <w:r>
        <w:rPr>
          <w:i/>
        </w:rPr>
        <w:t>R</w:t>
      </w:r>
      <w:r>
        <w:rPr>
          <w:i/>
        </w:rPr>
        <w:t>e</w:t>
      </w:r>
      <w:r>
        <w:rPr>
          <w:i/>
        </w:rPr>
        <w:t>touches</w:t>
      </w:r>
      <w:proofErr w:type="spellEnd"/>
      <w:r>
        <w:rPr>
          <w:i/>
        </w:rPr>
        <w:t xml:space="preserve"> </w:t>
      </w:r>
      <w:r>
        <w:t>die Seiten 117 – 210.</w:t>
      </w:r>
    </w:p>
  </w:footnote>
  <w:footnote w:id="31">
    <w:p w:rsidR="00360F4F" w:rsidRPr="00535D07" w:rsidRDefault="00360F4F" w:rsidP="006E550C">
      <w:pPr>
        <w:pStyle w:val="Funotentext"/>
      </w:pPr>
      <w:r>
        <w:rPr>
          <w:rStyle w:val="Funotenzeichen"/>
        </w:rPr>
        <w:footnoteRef/>
      </w:r>
      <w:r w:rsidRPr="00535D07">
        <w:t xml:space="preserve"> A.a.O., S. 166 f.</w:t>
      </w:r>
    </w:p>
  </w:footnote>
  <w:footnote w:id="32">
    <w:p w:rsidR="00360F4F" w:rsidRPr="00C246FD" w:rsidRDefault="00360F4F">
      <w:pPr>
        <w:pStyle w:val="Funotentext"/>
      </w:pPr>
      <w:r>
        <w:rPr>
          <w:rStyle w:val="Funotenzeichen"/>
        </w:rPr>
        <w:footnoteRef/>
      </w:r>
      <w:r>
        <w:t xml:space="preserve"> Gide schildert in den </w:t>
      </w:r>
      <w:proofErr w:type="spellStart"/>
      <w:r>
        <w:rPr>
          <w:i/>
        </w:rPr>
        <w:t>Retouches</w:t>
      </w:r>
      <w:proofErr w:type="spellEnd"/>
      <w:r>
        <w:t xml:space="preserve">, wie </w:t>
      </w:r>
      <w:proofErr w:type="spellStart"/>
      <w:r>
        <w:t>Bucharin</w:t>
      </w:r>
      <w:proofErr w:type="spellEnd"/>
      <w:r>
        <w:t xml:space="preserve"> – zu dieser Zeit bereits eine Unperson, obwohl noch Chefreda</w:t>
      </w:r>
      <w:r>
        <w:t>k</w:t>
      </w:r>
      <w:r>
        <w:t xml:space="preserve">teur der </w:t>
      </w:r>
      <w:proofErr w:type="spellStart"/>
      <w:r>
        <w:rPr>
          <w:i/>
        </w:rPr>
        <w:t>Iswestija</w:t>
      </w:r>
      <w:proofErr w:type="spellEnd"/>
      <w:r>
        <w:t xml:space="preserve"> – mehrfach versucht, mit Gide unbeobachtet in ein Gespräch zu kommen. </w:t>
      </w:r>
      <w:proofErr w:type="spellStart"/>
      <w:r>
        <w:t>Bucharin</w:t>
      </w:r>
      <w:proofErr w:type="spellEnd"/>
      <w:r>
        <w:t xml:space="preserve"> bittet d</w:t>
      </w:r>
      <w:r>
        <w:t>a</w:t>
      </w:r>
      <w:r>
        <w:t xml:space="preserve">rum, Gide eine Stunde später im Hotel aufsuchen zu dürfen. Herbarts lakonischer Kommentar dazu: „Ich wette, </w:t>
      </w:r>
      <w:proofErr w:type="spellStart"/>
      <w:r>
        <w:t>daß</w:t>
      </w:r>
      <w:proofErr w:type="spellEnd"/>
      <w:r>
        <w:t xml:space="preserve"> ihm das nicht gelingt.“ (S. 168) </w:t>
      </w:r>
      <w:proofErr w:type="spellStart"/>
      <w:r>
        <w:t>Kolzow</w:t>
      </w:r>
      <w:proofErr w:type="spellEnd"/>
      <w:r>
        <w:t xml:space="preserve">, der gesehen hatte, dass </w:t>
      </w:r>
      <w:proofErr w:type="spellStart"/>
      <w:r>
        <w:t>Bucharin</w:t>
      </w:r>
      <w:proofErr w:type="spellEnd"/>
      <w:r>
        <w:t xml:space="preserve"> auf Gide zutrat, nimmt </w:t>
      </w:r>
      <w:proofErr w:type="spellStart"/>
      <w:r>
        <w:t>Bucharin</w:t>
      </w:r>
      <w:proofErr w:type="spellEnd"/>
      <w:r>
        <w:t xml:space="preserve"> anschließend zur Seite. Gide sieht </w:t>
      </w:r>
      <w:proofErr w:type="spellStart"/>
      <w:r>
        <w:t>Bucharin</w:t>
      </w:r>
      <w:proofErr w:type="spellEnd"/>
      <w:r>
        <w:t xml:space="preserve"> während seines gesamten Moskauer Aufenthalts nicht wieder. Gides Kommentar: „Ohne diesen kleinen Fingerzeig Pierre Herbarts hätte ich wohl gar nichts begriffen. Ich hätte an Gleichgültigkeit geglaubt, an Nachlässigkeit […]. Aber nie wäre mit der Gedanke gekommen, </w:t>
      </w:r>
      <w:proofErr w:type="spellStart"/>
      <w:r>
        <w:rPr>
          <w:i/>
        </w:rPr>
        <w:t>daß</w:t>
      </w:r>
      <w:proofErr w:type="spellEnd"/>
      <w:r>
        <w:rPr>
          <w:i/>
        </w:rPr>
        <w:t xml:space="preserve"> man es ihm nicht erlaubt hatte“</w:t>
      </w:r>
      <w:r>
        <w:t xml:space="preserve"> (ebd.).</w:t>
      </w:r>
    </w:p>
  </w:footnote>
  <w:footnote w:id="33">
    <w:p w:rsidR="00360F4F" w:rsidRPr="00535D07" w:rsidRDefault="00360F4F">
      <w:pPr>
        <w:pStyle w:val="Funotentext"/>
      </w:pPr>
      <w:r>
        <w:rPr>
          <w:rStyle w:val="Funotenzeichen"/>
        </w:rPr>
        <w:footnoteRef/>
      </w:r>
      <w:r w:rsidRPr="00535D07">
        <w:t xml:space="preserve"> S. 158.</w:t>
      </w:r>
    </w:p>
  </w:footnote>
  <w:footnote w:id="34">
    <w:p w:rsidR="00360F4F" w:rsidRDefault="00360F4F">
      <w:pPr>
        <w:pStyle w:val="Funotentext"/>
      </w:pPr>
      <w:r>
        <w:rPr>
          <w:rStyle w:val="Funotenzeichen"/>
        </w:rPr>
        <w:footnoteRef/>
      </w:r>
      <w:r>
        <w:t xml:space="preserve"> S. 51.</w:t>
      </w:r>
    </w:p>
  </w:footnote>
  <w:footnote w:id="35">
    <w:p w:rsidR="00360F4F" w:rsidRDefault="00360F4F">
      <w:pPr>
        <w:pStyle w:val="Funotentext"/>
      </w:pPr>
      <w:r>
        <w:rPr>
          <w:rStyle w:val="Funotenzeichen"/>
        </w:rPr>
        <w:footnoteRef/>
      </w:r>
      <w:r>
        <w:t xml:space="preserve"> S. 68.</w:t>
      </w:r>
    </w:p>
  </w:footnote>
  <w:footnote w:id="36">
    <w:p w:rsidR="00360F4F" w:rsidRDefault="00360F4F">
      <w:pPr>
        <w:pStyle w:val="Funotentext"/>
      </w:pPr>
      <w:r>
        <w:rPr>
          <w:rStyle w:val="Funotenzeichen"/>
        </w:rPr>
        <w:footnoteRef/>
      </w:r>
      <w:r>
        <w:t xml:space="preserve"> S. 70.</w:t>
      </w:r>
    </w:p>
  </w:footnote>
  <w:footnote w:id="37">
    <w:p w:rsidR="00360F4F" w:rsidRDefault="00360F4F">
      <w:pPr>
        <w:pStyle w:val="Funotentext"/>
      </w:pPr>
      <w:r>
        <w:rPr>
          <w:rStyle w:val="Funotenzeichen"/>
        </w:rPr>
        <w:footnoteRef/>
      </w:r>
      <w:r>
        <w:t xml:space="preserve"> S. 69.</w:t>
      </w:r>
    </w:p>
  </w:footnote>
  <w:footnote w:id="38">
    <w:p w:rsidR="00360F4F" w:rsidRDefault="00360F4F">
      <w:pPr>
        <w:pStyle w:val="Funotentext"/>
      </w:pPr>
      <w:r>
        <w:rPr>
          <w:rStyle w:val="Funotenzeichen"/>
        </w:rPr>
        <w:footnoteRef/>
      </w:r>
      <w:r>
        <w:t xml:space="preserve"> S. 62.</w:t>
      </w:r>
    </w:p>
  </w:footnote>
  <w:footnote w:id="39">
    <w:p w:rsidR="00360F4F" w:rsidRDefault="00360F4F">
      <w:pPr>
        <w:pStyle w:val="Funotentext"/>
      </w:pPr>
      <w:r>
        <w:rPr>
          <w:rStyle w:val="Funotenzeichen"/>
        </w:rPr>
        <w:footnoteRef/>
      </w:r>
      <w:r>
        <w:t xml:space="preserve"> S. 72 f.</w:t>
      </w:r>
    </w:p>
  </w:footnote>
  <w:footnote w:id="40">
    <w:p w:rsidR="00360F4F" w:rsidRDefault="00360F4F">
      <w:pPr>
        <w:pStyle w:val="Funotentext"/>
      </w:pPr>
      <w:r>
        <w:rPr>
          <w:rStyle w:val="Funotenzeichen"/>
        </w:rPr>
        <w:footnoteRef/>
      </w:r>
      <w:r>
        <w:t xml:space="preserve"> S. 65.</w:t>
      </w:r>
    </w:p>
  </w:footnote>
  <w:footnote w:id="41">
    <w:p w:rsidR="00360F4F" w:rsidRDefault="00360F4F">
      <w:pPr>
        <w:pStyle w:val="Funotentext"/>
      </w:pPr>
      <w:r>
        <w:rPr>
          <w:rStyle w:val="Funotenzeichen"/>
        </w:rPr>
        <w:footnoteRef/>
      </w:r>
      <w:r>
        <w:t xml:space="preserve"> S. 79. – Der Vergleich mit Hitler-Deutschland ist an dieser Stelle schockierend. Er zeigt, dass sich Gide in seinem Bericht bewusst dem konfrontativen Weltbild des Exils: hier Hitler-Deutschland, dort die Sowjetunion, entzieht.</w:t>
      </w:r>
    </w:p>
  </w:footnote>
  <w:footnote w:id="42">
    <w:p w:rsidR="00360F4F" w:rsidRPr="00535D07" w:rsidRDefault="00360F4F">
      <w:pPr>
        <w:pStyle w:val="Funotentext"/>
      </w:pPr>
      <w:r>
        <w:rPr>
          <w:rStyle w:val="Funotenzeichen"/>
        </w:rPr>
        <w:footnoteRef/>
      </w:r>
      <w:r w:rsidRPr="00535D07">
        <w:t xml:space="preserve"> S. 68.</w:t>
      </w:r>
    </w:p>
  </w:footnote>
  <w:footnote w:id="43">
    <w:p w:rsidR="00360F4F" w:rsidRPr="00535D07" w:rsidRDefault="00360F4F">
      <w:pPr>
        <w:pStyle w:val="Funotentext"/>
      </w:pPr>
      <w:r>
        <w:rPr>
          <w:rStyle w:val="Funotenzeichen"/>
        </w:rPr>
        <w:footnoteRef/>
      </w:r>
      <w:r w:rsidRPr="00535D07">
        <w:t xml:space="preserve"> S. 84.</w:t>
      </w:r>
    </w:p>
  </w:footnote>
  <w:footnote w:id="44">
    <w:p w:rsidR="00360F4F" w:rsidRPr="00535D07" w:rsidRDefault="00360F4F">
      <w:pPr>
        <w:pStyle w:val="Funotentext"/>
      </w:pPr>
      <w:r>
        <w:rPr>
          <w:rStyle w:val="Funotenzeichen"/>
        </w:rPr>
        <w:footnoteRef/>
      </w:r>
      <w:r w:rsidRPr="00535D07">
        <w:t xml:space="preserve"> S. 86.</w:t>
      </w:r>
      <w:r>
        <w:t xml:space="preserve"> – Gide bekennt sich hier klar zum „Glauben an die Kraft des schriftstellerischen Wortes“, von der auch das Exil überzeugt ist, aber er stellt mit Absicht konservative, z.T. sogar die klassischen französischen Autoren heraus. Im Grunde bewegt sich Gide damit – allerdings mit anderer Zielsetzung – in der Kontinuität seiner Rede auf dem Pariser Schriftstellerkongress.</w:t>
      </w:r>
    </w:p>
  </w:footnote>
  <w:footnote w:id="45">
    <w:p w:rsidR="00360F4F" w:rsidRPr="00535D07" w:rsidRDefault="00360F4F">
      <w:pPr>
        <w:pStyle w:val="Funotentext"/>
      </w:pPr>
      <w:r>
        <w:rPr>
          <w:rStyle w:val="Funotenzeichen"/>
        </w:rPr>
        <w:footnoteRef/>
      </w:r>
      <w:r w:rsidRPr="00535D07">
        <w:t xml:space="preserve"> S. 50.</w:t>
      </w:r>
    </w:p>
  </w:footnote>
  <w:footnote w:id="46">
    <w:p w:rsidR="00360F4F" w:rsidRPr="00535D07" w:rsidRDefault="00360F4F">
      <w:pPr>
        <w:pStyle w:val="Funotentext"/>
      </w:pPr>
      <w:r>
        <w:rPr>
          <w:rStyle w:val="Funotenzeichen"/>
        </w:rPr>
        <w:footnoteRef/>
      </w:r>
      <w:r w:rsidRPr="00535D07">
        <w:t xml:space="preserve"> S. 87.</w:t>
      </w:r>
    </w:p>
  </w:footnote>
  <w:footnote w:id="47">
    <w:p w:rsidR="00360F4F" w:rsidRPr="00535D07" w:rsidRDefault="00360F4F">
      <w:pPr>
        <w:pStyle w:val="Funotentext"/>
      </w:pPr>
      <w:r>
        <w:rPr>
          <w:rStyle w:val="Funotenzeichen"/>
        </w:rPr>
        <w:footnoteRef/>
      </w:r>
      <w:r w:rsidRPr="00535D07">
        <w:t xml:space="preserve"> Ebd.</w:t>
      </w:r>
    </w:p>
  </w:footnote>
  <w:footnote w:id="48">
    <w:p w:rsidR="00360F4F" w:rsidRPr="00535D07" w:rsidRDefault="00360F4F">
      <w:pPr>
        <w:pStyle w:val="Funotentext"/>
      </w:pPr>
      <w:r>
        <w:rPr>
          <w:rStyle w:val="Funotenzeichen"/>
        </w:rPr>
        <w:footnoteRef/>
      </w:r>
      <w:r w:rsidRPr="00535D07">
        <w:t xml:space="preserve"> S. 88.</w:t>
      </w:r>
    </w:p>
  </w:footnote>
  <w:footnote w:id="49">
    <w:p w:rsidR="00360F4F" w:rsidRPr="00535D07" w:rsidRDefault="00360F4F">
      <w:pPr>
        <w:pStyle w:val="Funotentext"/>
      </w:pPr>
      <w:r>
        <w:rPr>
          <w:rStyle w:val="Funotenzeichen"/>
        </w:rPr>
        <w:footnoteRef/>
      </w:r>
      <w:r w:rsidRPr="00535D07">
        <w:t xml:space="preserve"> S. 163.</w:t>
      </w:r>
    </w:p>
  </w:footnote>
  <w:footnote w:id="50">
    <w:p w:rsidR="00360F4F" w:rsidRDefault="00360F4F">
      <w:pPr>
        <w:pStyle w:val="Funotentext"/>
      </w:pPr>
      <w:r>
        <w:rPr>
          <w:rStyle w:val="Funotenzeichen"/>
        </w:rPr>
        <w:footnoteRef/>
      </w:r>
      <w:r>
        <w:t xml:space="preserve"> S. 194.</w:t>
      </w:r>
    </w:p>
  </w:footnote>
  <w:footnote w:id="51">
    <w:p w:rsidR="00360F4F" w:rsidRDefault="00360F4F">
      <w:pPr>
        <w:pStyle w:val="Funotentext"/>
      </w:pPr>
      <w:r>
        <w:rPr>
          <w:rStyle w:val="Funotenzeichen"/>
        </w:rPr>
        <w:footnoteRef/>
      </w:r>
      <w:r>
        <w:t xml:space="preserve"> S. 157 f.</w:t>
      </w:r>
    </w:p>
  </w:footnote>
  <w:footnote w:id="52">
    <w:p w:rsidR="00360F4F" w:rsidRPr="00EA7BB5" w:rsidRDefault="00360F4F">
      <w:pPr>
        <w:pStyle w:val="Funotentext"/>
      </w:pPr>
      <w:r>
        <w:rPr>
          <w:rStyle w:val="Funotenzeichen"/>
        </w:rPr>
        <w:footnoteRef/>
      </w:r>
      <w:r w:rsidRPr="006718C6">
        <w:t xml:space="preserve"> A.a.O., S. 86 f. – Davon ist</w:t>
      </w:r>
      <w:r>
        <w:t xml:space="preserve"> bei Gide an </w:t>
      </w:r>
      <w:r>
        <w:rPr>
          <w:i/>
        </w:rPr>
        <w:t>keiner Stelle</w:t>
      </w:r>
      <w:r>
        <w:t xml:space="preserve"> die Rede. Feuchtwangers Artikel erschien zuerst in der </w:t>
      </w:r>
      <w:r>
        <w:rPr>
          <w:i/>
        </w:rPr>
        <w:t>Prawda</w:t>
      </w:r>
      <w:r>
        <w:t xml:space="preserve"> (30. Dezember 1936).</w:t>
      </w:r>
    </w:p>
  </w:footnote>
  <w:footnote w:id="53">
    <w:p w:rsidR="00360F4F" w:rsidRDefault="00360F4F">
      <w:pPr>
        <w:pStyle w:val="Funotentext"/>
      </w:pPr>
      <w:r>
        <w:rPr>
          <w:rStyle w:val="Funotenzeichen"/>
        </w:rPr>
        <w:footnoteRef/>
      </w:r>
      <w:r>
        <w:t xml:space="preserve"> S. 173, Anm. 2.</w:t>
      </w:r>
    </w:p>
  </w:footnote>
  <w:footnote w:id="54">
    <w:p w:rsidR="00360F4F" w:rsidRDefault="00360F4F">
      <w:pPr>
        <w:pStyle w:val="Funotentext"/>
      </w:pPr>
      <w:r>
        <w:rPr>
          <w:rStyle w:val="Funotenzeichen"/>
        </w:rPr>
        <w:footnoteRef/>
      </w:r>
      <w:r>
        <w:t xml:space="preserve"> S. 179.</w:t>
      </w:r>
    </w:p>
  </w:footnote>
  <w:footnote w:id="55">
    <w:p w:rsidR="00360F4F" w:rsidRDefault="00360F4F">
      <w:pPr>
        <w:pStyle w:val="Funotentext"/>
      </w:pPr>
      <w:r>
        <w:rPr>
          <w:rStyle w:val="Funotenzeichen"/>
        </w:rPr>
        <w:footnoteRef/>
      </w:r>
      <w:r>
        <w:t xml:space="preserve"> S. 180.</w:t>
      </w:r>
    </w:p>
  </w:footnote>
  <w:footnote w:id="56">
    <w:p w:rsidR="00360F4F" w:rsidRDefault="00360F4F">
      <w:pPr>
        <w:pStyle w:val="Funotentext"/>
      </w:pPr>
      <w:r>
        <w:rPr>
          <w:rStyle w:val="Funotenzeichen"/>
        </w:rPr>
        <w:footnoteRef/>
      </w:r>
      <w:r>
        <w:t xml:space="preserve"> Ebd.</w:t>
      </w:r>
    </w:p>
  </w:footnote>
  <w:footnote w:id="57">
    <w:p w:rsidR="00360F4F" w:rsidRDefault="00360F4F">
      <w:pPr>
        <w:pStyle w:val="Funotentext"/>
      </w:pPr>
      <w:r>
        <w:rPr>
          <w:rStyle w:val="Funotenzeichen"/>
        </w:rPr>
        <w:footnoteRef/>
      </w:r>
      <w:r>
        <w:t xml:space="preserve"> S. 72 f.</w:t>
      </w:r>
    </w:p>
  </w:footnote>
  <w:footnote w:id="58">
    <w:p w:rsidR="00360F4F" w:rsidRDefault="00360F4F">
      <w:pPr>
        <w:pStyle w:val="Funotentext"/>
      </w:pPr>
      <w:r>
        <w:rPr>
          <w:rStyle w:val="Funotenzeichen"/>
        </w:rPr>
        <w:footnoteRef/>
      </w:r>
      <w:r>
        <w:t xml:space="preserve"> S. 74 f.</w:t>
      </w:r>
    </w:p>
  </w:footnote>
  <w:footnote w:id="59">
    <w:p w:rsidR="00360F4F" w:rsidRDefault="00360F4F">
      <w:pPr>
        <w:pStyle w:val="Funotentext"/>
      </w:pPr>
      <w:r>
        <w:rPr>
          <w:rStyle w:val="Funotenzeichen"/>
        </w:rPr>
        <w:footnoteRef/>
      </w:r>
      <w:r>
        <w:t xml:space="preserve"> S. 77 f.</w:t>
      </w:r>
    </w:p>
  </w:footnote>
  <w:footnote w:id="60">
    <w:p w:rsidR="00360F4F" w:rsidRPr="007D0EA6" w:rsidRDefault="00360F4F" w:rsidP="00C6047C">
      <w:pPr>
        <w:pStyle w:val="Funotentext"/>
      </w:pPr>
      <w:r>
        <w:rPr>
          <w:rStyle w:val="Funotenzeichen"/>
        </w:rPr>
        <w:footnoteRef/>
      </w:r>
      <w:r>
        <w:t xml:space="preserve"> Gide spricht in seiner Rede auf dem Pariser Schriftstellerkongress davon, dass er meine, „aus voller Überze</w:t>
      </w:r>
      <w:r>
        <w:t>u</w:t>
      </w:r>
      <w:r>
        <w:t>gung Individualist sein und gleichzeitig den Kommunismus bejahen zu können, der mir sogar hilft [!], Individu</w:t>
      </w:r>
      <w:r>
        <w:t>a</w:t>
      </w:r>
      <w:r>
        <w:t>list zu sein.“ (</w:t>
      </w:r>
      <w:r>
        <w:rPr>
          <w:i/>
        </w:rPr>
        <w:t>Paris 1935,</w:t>
      </w:r>
      <w:r>
        <w:t xml:space="preserve"> S. 124). Er unterstreicht die Aussage sogar, indem er sagt: „Gerade in einer komm</w:t>
      </w:r>
      <w:r>
        <w:t>u</w:t>
      </w:r>
      <w:r>
        <w:t>nistischen Gesellschaft kann sich jedes Individuum, die Besonderheit jedes Individuums, am vollständigsten entfalten“ (ebd.). – Die Apodiktik dieser Aussagen macht es Gide zur zwingenden Notwendigkeit, die behaupt</w:t>
      </w:r>
      <w:r>
        <w:t>e</w:t>
      </w:r>
      <w:r>
        <w:t>te Koppelung von Individualismus und Kommunismus nunmehr zu widerrufen, zumal er sich durch diese Au</w:t>
      </w:r>
      <w:r>
        <w:t>s</w:t>
      </w:r>
      <w:r>
        <w:t xml:space="preserve">sage gegenüber der </w:t>
      </w:r>
      <w:r>
        <w:rPr>
          <w:i/>
        </w:rPr>
        <w:t xml:space="preserve">Action </w:t>
      </w:r>
      <w:proofErr w:type="spellStart"/>
      <w:r>
        <w:rPr>
          <w:i/>
        </w:rPr>
        <w:t>fran</w:t>
      </w:r>
      <w:r>
        <w:rPr>
          <w:rFonts w:cs="Times New Roman"/>
          <w:i/>
        </w:rPr>
        <w:t>çaise</w:t>
      </w:r>
      <w:proofErr w:type="spellEnd"/>
      <w:r>
        <w:rPr>
          <w:rFonts w:cs="Times New Roman"/>
        </w:rPr>
        <w:t>, der Zeitschrift der gleichnamigen faschistischen Organisation, und der hier formulierten Aussage, die Zivilisation sei „Lüge“</w:t>
      </w:r>
      <w:r w:rsidR="00BB1EF0">
        <w:rPr>
          <w:rFonts w:cs="Times New Roman"/>
        </w:rPr>
        <w:t>,</w:t>
      </w:r>
      <w:r>
        <w:rPr>
          <w:rFonts w:cs="Times New Roman"/>
        </w:rPr>
        <w:t xml:space="preserve"> abgegrenzt hatte</w:t>
      </w:r>
      <w:r>
        <w:t>.</w:t>
      </w:r>
    </w:p>
  </w:footnote>
  <w:footnote w:id="61">
    <w:p w:rsidR="00360F4F" w:rsidRPr="00960611" w:rsidRDefault="00360F4F">
      <w:pPr>
        <w:pStyle w:val="Funotentext"/>
      </w:pPr>
      <w:r>
        <w:rPr>
          <w:rStyle w:val="Funotenzeichen"/>
        </w:rPr>
        <w:footnoteRef/>
      </w:r>
      <w:r>
        <w:t xml:space="preserve"> Der Text wird zitiert nach der im Aufbau Taschenbuch Verlag erschienenen Neuauflage: Lion Feuchtwanger: </w:t>
      </w:r>
      <w:r>
        <w:rPr>
          <w:i/>
        </w:rPr>
        <w:t>Moskau 1937.</w:t>
      </w:r>
      <w:r>
        <w:t xml:space="preserve"> Ein Reisebericht für meine Freunde. Berlin 1993.</w:t>
      </w:r>
    </w:p>
  </w:footnote>
  <w:footnote w:id="62">
    <w:p w:rsidR="00360F4F" w:rsidRDefault="00360F4F" w:rsidP="00C92DD7">
      <w:pPr>
        <w:pStyle w:val="Funotentext"/>
      </w:pPr>
      <w:r>
        <w:rPr>
          <w:rStyle w:val="Funotenzeichen"/>
        </w:rPr>
        <w:footnoteRef/>
      </w:r>
      <w:r>
        <w:t xml:space="preserve"> Pikant ist, dass mit dem Begriff „Freude“ im internen (getarnten) Schriftwechsel der KPD zu dieser Zeit Pa</w:t>
      </w:r>
      <w:r>
        <w:t>r</w:t>
      </w:r>
      <w:r>
        <w:t xml:space="preserve">teigenossen bezeichnet wurden. </w:t>
      </w:r>
    </w:p>
  </w:footnote>
  <w:footnote w:id="63">
    <w:p w:rsidR="00360F4F" w:rsidRDefault="00360F4F">
      <w:pPr>
        <w:pStyle w:val="Funotentext"/>
      </w:pPr>
      <w:r>
        <w:rPr>
          <w:rStyle w:val="Funotenzeichen"/>
        </w:rPr>
        <w:footnoteRef/>
      </w:r>
      <w:r>
        <w:t xml:space="preserve"> Neben weiteren Aufsätzen sind hier vor allem zu nennen: Anne Hartmann: </w:t>
      </w:r>
      <w:r w:rsidRPr="00C54CFF">
        <w:t xml:space="preserve">Lost in </w:t>
      </w:r>
      <w:proofErr w:type="spellStart"/>
      <w:r w:rsidRPr="00C54CFF">
        <w:t>translation</w:t>
      </w:r>
      <w:proofErr w:type="spellEnd"/>
      <w:r w:rsidRPr="00C54CFF">
        <w:t xml:space="preserve">. </w:t>
      </w:r>
      <w:r w:rsidRPr="00057181">
        <w:t>Lion Feuch</w:t>
      </w:r>
      <w:r w:rsidRPr="00057181">
        <w:t>t</w:t>
      </w:r>
      <w:r w:rsidRPr="00057181">
        <w:t xml:space="preserve">wanger bei Stalin, Moskau 1937. </w:t>
      </w:r>
      <w:r>
        <w:t>In:</w:t>
      </w:r>
      <w:r w:rsidR="00353AD8">
        <w:t xml:space="preserve"> </w:t>
      </w:r>
      <w:r>
        <w:rPr>
          <w:i/>
        </w:rPr>
        <w:t>Exil</w:t>
      </w:r>
      <w:r>
        <w:t xml:space="preserve"> 28 (2008), H. 2, S. 5 – 18, anschließend S. 19 – 31 die „Aufzeichnung der Unterredung des Genossen Stalin mit dem deutschen Schriftsteller Lion Feuchtwanger (8. Januar 1937)“; dies.: Lion Feuchtwanger, zurück aus Sowjetrussland. Selbstzensur eines Reiseberichts. – In: </w:t>
      </w:r>
      <w:r>
        <w:rPr>
          <w:i/>
        </w:rPr>
        <w:t xml:space="preserve">Exil </w:t>
      </w:r>
      <w:r>
        <w:t xml:space="preserve">29 (2009), H. 1, S. 16 – 40; dies.: Lion Feuchtwangers Dolmetscherin. Die Rapporte der Dora </w:t>
      </w:r>
      <w:proofErr w:type="spellStart"/>
      <w:r>
        <w:t>Karawkina</w:t>
      </w:r>
      <w:proofErr w:type="spellEnd"/>
      <w:r>
        <w:t xml:space="preserve">. – In: </w:t>
      </w:r>
      <w:r w:rsidRPr="007F2595">
        <w:rPr>
          <w:i/>
        </w:rPr>
        <w:t xml:space="preserve">Exil </w:t>
      </w:r>
      <w:r>
        <w:t xml:space="preserve">30 (2010), H. 1, S. </w:t>
      </w:r>
      <w:r w:rsidR="003B1A0B">
        <w:t>28</w:t>
      </w:r>
      <w:r>
        <w:t xml:space="preserve"> – </w:t>
      </w:r>
      <w:r w:rsidR="003B1A0B">
        <w:t>51</w:t>
      </w:r>
      <w:r>
        <w:t xml:space="preserve">, hier S. </w:t>
      </w:r>
      <w:r w:rsidR="003B1A0B">
        <w:t>32</w:t>
      </w:r>
      <w:r>
        <w:t xml:space="preserve">. </w:t>
      </w:r>
    </w:p>
  </w:footnote>
  <w:footnote w:id="64">
    <w:p w:rsidR="00360F4F" w:rsidRDefault="00360F4F">
      <w:pPr>
        <w:pStyle w:val="Funotentext"/>
      </w:pPr>
      <w:r>
        <w:rPr>
          <w:rStyle w:val="Funotenzeichen"/>
        </w:rPr>
        <w:footnoteRef/>
      </w:r>
      <w:r>
        <w:t xml:space="preserve"> Anne Hartmann: Lion Feuchtwangers Dolmetscherin, </w:t>
      </w:r>
      <w:proofErr w:type="spellStart"/>
      <w:r>
        <w:t>a.a.O</w:t>
      </w:r>
      <w:proofErr w:type="spellEnd"/>
      <w:r>
        <w:t xml:space="preserve">, S. </w:t>
      </w:r>
      <w:r w:rsidR="003B1A0B">
        <w:t>32</w:t>
      </w:r>
      <w:r>
        <w:t>.</w:t>
      </w:r>
    </w:p>
  </w:footnote>
  <w:footnote w:id="65">
    <w:p w:rsidR="00360F4F" w:rsidRPr="0059350C" w:rsidRDefault="00360F4F">
      <w:pPr>
        <w:pStyle w:val="Funotentext"/>
      </w:pPr>
      <w:r>
        <w:rPr>
          <w:rStyle w:val="Funotenzeichen"/>
        </w:rPr>
        <w:footnoteRef/>
      </w:r>
      <w:r>
        <w:t xml:space="preserve"> Vgl. Claudie Villard: Die Rezeption von Lion Feuchtwangers </w:t>
      </w:r>
      <w:r>
        <w:rPr>
          <w:i/>
        </w:rPr>
        <w:t>Moskau 37</w:t>
      </w:r>
      <w:r>
        <w:t xml:space="preserve"> in den Exilzeitschriften. – In: </w:t>
      </w:r>
      <w:proofErr w:type="spellStart"/>
      <w:r w:rsidRPr="0059350C">
        <w:rPr>
          <w:i/>
        </w:rPr>
        <w:t>Autour</w:t>
      </w:r>
      <w:proofErr w:type="spellEnd"/>
      <w:r w:rsidRPr="0059350C">
        <w:rPr>
          <w:i/>
        </w:rPr>
        <w:t xml:space="preserve"> du „Front </w:t>
      </w:r>
      <w:proofErr w:type="spellStart"/>
      <w:r w:rsidRPr="0059350C">
        <w:rPr>
          <w:i/>
        </w:rPr>
        <w:t>populaire</w:t>
      </w:r>
      <w:proofErr w:type="spellEnd"/>
      <w:r w:rsidRPr="0059350C">
        <w:rPr>
          <w:i/>
        </w:rPr>
        <w:t xml:space="preserve"> </w:t>
      </w:r>
      <w:proofErr w:type="spellStart"/>
      <w:r w:rsidRPr="0059350C">
        <w:rPr>
          <w:i/>
        </w:rPr>
        <w:t>allemand</w:t>
      </w:r>
      <w:proofErr w:type="spellEnd"/>
      <w:r w:rsidRPr="0059350C">
        <w:rPr>
          <w:i/>
        </w:rPr>
        <w:t xml:space="preserve">“, </w:t>
      </w:r>
      <w:r>
        <w:t>a.a.O., S. 289 – 313.</w:t>
      </w:r>
    </w:p>
  </w:footnote>
  <w:footnote w:id="66">
    <w:p w:rsidR="00360F4F" w:rsidRDefault="00360F4F">
      <w:pPr>
        <w:pStyle w:val="Funotentext"/>
      </w:pPr>
      <w:r>
        <w:rPr>
          <w:rStyle w:val="Funotenzeichen"/>
        </w:rPr>
        <w:footnoteRef/>
      </w:r>
      <w:r>
        <w:t xml:space="preserve"> „Ich </w:t>
      </w:r>
      <w:proofErr w:type="spellStart"/>
      <w:r>
        <w:t>muß</w:t>
      </w:r>
      <w:proofErr w:type="spellEnd"/>
      <w:r>
        <w:t xml:space="preserve"> gestehen, </w:t>
      </w:r>
      <w:proofErr w:type="spellStart"/>
      <w:r>
        <w:t>daß</w:t>
      </w:r>
      <w:proofErr w:type="spellEnd"/>
      <w:r>
        <w:t xml:space="preserve">, obwohl mich der </w:t>
      </w:r>
      <w:proofErr w:type="spellStart"/>
      <w:r>
        <w:t>Prozeß</w:t>
      </w:r>
      <w:proofErr w:type="spellEnd"/>
      <w:r>
        <w:t xml:space="preserve"> von der Schuld der Angeklagten überzeugt hat, ihr Verhalten vor Gericht, mir trotz der Argumente der Sowjetleute nicht bis ins letzte klargeworden ist“ (S. 87 f.).</w:t>
      </w:r>
    </w:p>
  </w:footnote>
  <w:footnote w:id="67">
    <w:p w:rsidR="00360F4F" w:rsidRDefault="00360F4F">
      <w:pPr>
        <w:pStyle w:val="Funotentext"/>
      </w:pPr>
      <w:r>
        <w:rPr>
          <w:rStyle w:val="Funotenzeichen"/>
        </w:rPr>
        <w:footnoteRef/>
      </w:r>
      <w:r>
        <w:t xml:space="preserve"> Charakteristisches ist Feuchtwangers Rechtfertigung durch den Bezug auf das Urteil von Sokrates über Hera</w:t>
      </w:r>
      <w:r>
        <w:t>k</w:t>
      </w:r>
      <w:r>
        <w:t xml:space="preserve">lit: „Was ich verstanden habe, ist vortrefflich. Daraus schließe ich, </w:t>
      </w:r>
      <w:proofErr w:type="spellStart"/>
      <w:r>
        <w:t>daß</w:t>
      </w:r>
      <w:proofErr w:type="spellEnd"/>
      <w:r>
        <w:t xml:space="preserve"> das andere, was ich nicht verstanden habe, auch vortrefflich ist.“ (S. 98)</w:t>
      </w:r>
    </w:p>
  </w:footnote>
  <w:footnote w:id="68">
    <w:p w:rsidR="00360F4F" w:rsidRDefault="00360F4F">
      <w:pPr>
        <w:pStyle w:val="Funotentext"/>
      </w:pPr>
      <w:r>
        <w:rPr>
          <w:rStyle w:val="Funotenzeichen"/>
        </w:rPr>
        <w:footnoteRef/>
      </w:r>
      <w:r>
        <w:t xml:space="preserve"> S. 104.</w:t>
      </w:r>
    </w:p>
  </w:footnote>
  <w:footnote w:id="69">
    <w:p w:rsidR="00360F4F" w:rsidRPr="00C56325" w:rsidRDefault="00360F4F" w:rsidP="00CF06D3">
      <w:pPr>
        <w:pStyle w:val="Funotentext"/>
      </w:pPr>
      <w:r>
        <w:rPr>
          <w:rStyle w:val="Funotenzeichen"/>
        </w:rPr>
        <w:footnoteRef/>
      </w:r>
      <w:r>
        <w:t xml:space="preserve"> Alexander </w:t>
      </w:r>
      <w:proofErr w:type="spellStart"/>
      <w:r>
        <w:t>Weissberg-Cybulski</w:t>
      </w:r>
      <w:proofErr w:type="spellEnd"/>
      <w:r>
        <w:t xml:space="preserve"> weist in </w:t>
      </w:r>
      <w:r>
        <w:rPr>
          <w:i/>
        </w:rPr>
        <w:t>Hexensabbat</w:t>
      </w:r>
      <w:r>
        <w:t xml:space="preserve"> auf die mangelnde Plausibilität von </w:t>
      </w:r>
      <w:proofErr w:type="spellStart"/>
      <w:r>
        <w:t>Wyschinskijs</w:t>
      </w:r>
      <w:proofErr w:type="spellEnd"/>
      <w:r>
        <w:t xml:space="preserve"> Pl</w:t>
      </w:r>
      <w:r>
        <w:t>ä</w:t>
      </w:r>
      <w:r>
        <w:t xml:space="preserve">doyer gegen Nikolai </w:t>
      </w:r>
      <w:proofErr w:type="spellStart"/>
      <w:r>
        <w:t>Muralow</w:t>
      </w:r>
      <w:proofErr w:type="spellEnd"/>
      <w:r>
        <w:t xml:space="preserve"> hin. – In: Alexander </w:t>
      </w:r>
      <w:proofErr w:type="spellStart"/>
      <w:r>
        <w:t>Weissberg-Cybulski</w:t>
      </w:r>
      <w:proofErr w:type="spellEnd"/>
      <w:r>
        <w:t xml:space="preserve">: </w:t>
      </w:r>
      <w:r>
        <w:rPr>
          <w:i/>
        </w:rPr>
        <w:t>Hexensabbat</w:t>
      </w:r>
      <w:r>
        <w:t>. Frankfurt a.M. 1977, S. 76 f.</w:t>
      </w:r>
    </w:p>
  </w:footnote>
  <w:footnote w:id="70">
    <w:p w:rsidR="00360F4F" w:rsidRDefault="00360F4F">
      <w:pPr>
        <w:pStyle w:val="Funotentext"/>
      </w:pPr>
      <w:r>
        <w:rPr>
          <w:rStyle w:val="Funotenzeichen"/>
        </w:rPr>
        <w:footnoteRef/>
      </w:r>
      <w:r>
        <w:t xml:space="preserve"> Die Interventionen gegen die Verhaftung von Alexander </w:t>
      </w:r>
      <w:proofErr w:type="spellStart"/>
      <w:r>
        <w:t>Weissberg</w:t>
      </w:r>
      <w:proofErr w:type="spellEnd"/>
      <w:r>
        <w:t xml:space="preserve"> und Fritz </w:t>
      </w:r>
      <w:proofErr w:type="spellStart"/>
      <w:r>
        <w:t>Houtermans</w:t>
      </w:r>
      <w:proofErr w:type="spellEnd"/>
      <w:r>
        <w:t xml:space="preserve"> sind bei </w:t>
      </w:r>
      <w:proofErr w:type="spellStart"/>
      <w:r>
        <w:t>Weissberg</w:t>
      </w:r>
      <w:proofErr w:type="spellEnd"/>
      <w:r>
        <w:t xml:space="preserve">: </w:t>
      </w:r>
      <w:r>
        <w:rPr>
          <w:i/>
        </w:rPr>
        <w:t>Hexensabbat</w:t>
      </w:r>
      <w:r>
        <w:t xml:space="preserve">, S. 17 – 21, abgedruckt. </w:t>
      </w:r>
    </w:p>
  </w:footnote>
  <w:footnote w:id="71">
    <w:p w:rsidR="00353AD8" w:rsidRDefault="00353AD8">
      <w:pPr>
        <w:pStyle w:val="Funotentext"/>
      </w:pPr>
      <w:r>
        <w:rPr>
          <w:rStyle w:val="Funotenzeichen"/>
        </w:rPr>
        <w:footnoteRef/>
      </w:r>
      <w:r>
        <w:t xml:space="preserve"> Vgl. den – Mitte der 1960er Jahre entstandene</w:t>
      </w:r>
      <w:r w:rsidR="004B66E1">
        <w:t>n</w:t>
      </w:r>
      <w:r>
        <w:t xml:space="preserve">, daher sehr viel kritischeren – Bericht über die Moskau-Reise von Ludwig Marcuse (Ludwig Marcuse: </w:t>
      </w:r>
      <w:r>
        <w:rPr>
          <w:i/>
        </w:rPr>
        <w:t>Mein Zwanzigstes Jahrhundert</w:t>
      </w:r>
      <w:r>
        <w:t xml:space="preserve">. Auf dem Weg zu einer Autobiographie. Frankfurt a.M. 1968, S. 183 – 200), der viele Details, die der Bericht von Dora </w:t>
      </w:r>
      <w:proofErr w:type="spellStart"/>
      <w:r>
        <w:t>Karawkina</w:t>
      </w:r>
      <w:proofErr w:type="spellEnd"/>
      <w:r>
        <w:t xml:space="preserve"> anspricht, bestätigt. </w:t>
      </w:r>
    </w:p>
  </w:footnote>
  <w:footnote w:id="72">
    <w:p w:rsidR="00360F4F" w:rsidRDefault="00360F4F" w:rsidP="00335B87">
      <w:pPr>
        <w:spacing w:after="0" w:line="240" w:lineRule="auto"/>
      </w:pPr>
      <w:r>
        <w:rPr>
          <w:rStyle w:val="Funotenzeichen"/>
        </w:rPr>
        <w:footnoteRef/>
      </w:r>
      <w:r>
        <w:t xml:space="preserve"> Die Angaben nach Anne Hartmann: Lion Feuchtwanger, zurück aus Sowjetrussland, a.a.O., S. 18.</w:t>
      </w:r>
    </w:p>
  </w:footnote>
  <w:footnote w:id="73">
    <w:p w:rsidR="00360F4F" w:rsidRDefault="00360F4F">
      <w:pPr>
        <w:pStyle w:val="Funotentext"/>
      </w:pPr>
      <w:r>
        <w:rPr>
          <w:rStyle w:val="Funotenzeichen"/>
        </w:rPr>
        <w:footnoteRef/>
      </w:r>
      <w:r>
        <w:t xml:space="preserve"> Vgl. Hartmann: Selbstzensur, S. 19 – 22. Anne Hartmann stellt in diesem Artikel einen Teil der Korrekturen und Ergänzungen anhand eines Variantenvergleichs der Seiten 101 – 104 der Erstausgabe (</w:t>
      </w:r>
      <w:proofErr w:type="gramStart"/>
      <w:r>
        <w:t>Ms.,</w:t>
      </w:r>
      <w:proofErr w:type="gramEnd"/>
      <w:r>
        <w:t xml:space="preserve"> maschine</w:t>
      </w:r>
      <w:r>
        <w:t>n</w:t>
      </w:r>
      <w:r>
        <w:t xml:space="preserve">schriftliche Neufassung als Einlage in die Druckfahnen, Druckfassung) vor (Hartmann, S. 34 – 40). </w:t>
      </w:r>
    </w:p>
  </w:footnote>
  <w:footnote w:id="74">
    <w:p w:rsidR="00360F4F" w:rsidRPr="00C6047C" w:rsidRDefault="00360F4F">
      <w:pPr>
        <w:pStyle w:val="Funotentext"/>
        <w:rPr>
          <w:lang w:val="en-US"/>
        </w:rPr>
      </w:pPr>
      <w:r>
        <w:rPr>
          <w:rStyle w:val="Funotenzeichen"/>
        </w:rPr>
        <w:footnoteRef/>
      </w:r>
      <w:r w:rsidRPr="00C6047C">
        <w:rPr>
          <w:lang w:val="en-US"/>
        </w:rPr>
        <w:t xml:space="preserve"> </w:t>
      </w:r>
      <w:proofErr w:type="spellStart"/>
      <w:proofErr w:type="gramStart"/>
      <w:r w:rsidRPr="00C6047C">
        <w:rPr>
          <w:lang w:val="en-US"/>
        </w:rPr>
        <w:t>Ebd</w:t>
      </w:r>
      <w:proofErr w:type="spellEnd"/>
      <w:r w:rsidRPr="00C6047C">
        <w:rPr>
          <w:lang w:val="en-US"/>
        </w:rPr>
        <w:t>.,</w:t>
      </w:r>
      <w:proofErr w:type="gramEnd"/>
      <w:r w:rsidRPr="00C6047C">
        <w:rPr>
          <w:lang w:val="en-US"/>
        </w:rPr>
        <w:t xml:space="preserve"> S. 25.</w:t>
      </w:r>
    </w:p>
  </w:footnote>
  <w:footnote w:id="75">
    <w:p w:rsidR="00360F4F" w:rsidRPr="00C6047C" w:rsidRDefault="00360F4F">
      <w:pPr>
        <w:pStyle w:val="Funotentext"/>
        <w:rPr>
          <w:lang w:val="en-US"/>
        </w:rPr>
      </w:pPr>
      <w:r>
        <w:rPr>
          <w:rStyle w:val="Funotenzeichen"/>
        </w:rPr>
        <w:footnoteRef/>
      </w:r>
      <w:r w:rsidRPr="00C6047C">
        <w:rPr>
          <w:lang w:val="en-US"/>
        </w:rPr>
        <w:t xml:space="preserve"> S. 25 f. </w:t>
      </w:r>
    </w:p>
  </w:footnote>
  <w:footnote w:id="76">
    <w:p w:rsidR="00360F4F" w:rsidRPr="00C6047C" w:rsidRDefault="00360F4F">
      <w:pPr>
        <w:pStyle w:val="Funotentext"/>
        <w:rPr>
          <w:lang w:val="en-US"/>
        </w:rPr>
      </w:pPr>
      <w:r>
        <w:rPr>
          <w:rStyle w:val="Funotenzeichen"/>
        </w:rPr>
        <w:footnoteRef/>
      </w:r>
      <w:r w:rsidRPr="00C6047C">
        <w:rPr>
          <w:lang w:val="en-US"/>
        </w:rPr>
        <w:t xml:space="preserve"> S. 28.</w:t>
      </w:r>
    </w:p>
  </w:footnote>
  <w:footnote w:id="77">
    <w:p w:rsidR="00360F4F" w:rsidRPr="00257662" w:rsidRDefault="00360F4F" w:rsidP="00E9526F">
      <w:pPr>
        <w:spacing w:after="0" w:line="240" w:lineRule="auto"/>
        <w:rPr>
          <w:lang w:val="en-US"/>
        </w:rPr>
      </w:pPr>
      <w:r>
        <w:rPr>
          <w:rStyle w:val="Funotenzeichen"/>
        </w:rPr>
        <w:footnoteRef/>
      </w:r>
      <w:r w:rsidRPr="00F738E1">
        <w:rPr>
          <w:lang w:val="en-US"/>
        </w:rPr>
        <w:t xml:space="preserve"> Anne Hartmann: Lost in translation</w:t>
      </w:r>
      <w:r>
        <w:rPr>
          <w:lang w:val="en-US"/>
        </w:rPr>
        <w:t>, S.</w:t>
      </w:r>
      <w:r w:rsidRPr="00257662">
        <w:rPr>
          <w:lang w:val="en-US"/>
        </w:rPr>
        <w:t xml:space="preserve"> 6.</w:t>
      </w:r>
    </w:p>
  </w:footnote>
  <w:footnote w:id="78">
    <w:p w:rsidR="00360F4F" w:rsidRDefault="00360F4F">
      <w:pPr>
        <w:pStyle w:val="Funotentext"/>
      </w:pPr>
      <w:r>
        <w:rPr>
          <w:rStyle w:val="Funotenzeichen"/>
        </w:rPr>
        <w:footnoteRef/>
      </w:r>
      <w:r>
        <w:t xml:space="preserve"> Ebd., S. 6. – Anne Hartmann zitiert einerseits die Berichte von Feuchtwangers Moskauer Dolmetscherin, and</w:t>
      </w:r>
      <w:r>
        <w:t>e</w:t>
      </w:r>
      <w:r>
        <w:t xml:space="preserve">rerseits Tagebuchaufzeichnungen </w:t>
      </w:r>
      <w:proofErr w:type="spellStart"/>
      <w:r>
        <w:t>Dimitroffs</w:t>
      </w:r>
      <w:proofErr w:type="spellEnd"/>
      <w:r>
        <w:t xml:space="preserve"> über sein Gespräch mit Feuchtwanger.</w:t>
      </w:r>
    </w:p>
  </w:footnote>
  <w:footnote w:id="79">
    <w:p w:rsidR="00360F4F" w:rsidRDefault="00360F4F">
      <w:pPr>
        <w:pStyle w:val="Funotentext"/>
      </w:pPr>
      <w:r>
        <w:rPr>
          <w:rStyle w:val="Funotenzeichen"/>
        </w:rPr>
        <w:footnoteRef/>
      </w:r>
      <w:r>
        <w:t xml:space="preserve"> S. 6 f.</w:t>
      </w:r>
    </w:p>
  </w:footnote>
  <w:footnote w:id="80">
    <w:p w:rsidR="00360F4F" w:rsidRDefault="00360F4F">
      <w:pPr>
        <w:pStyle w:val="Funotentext"/>
      </w:pPr>
      <w:r>
        <w:rPr>
          <w:rStyle w:val="Funotenzeichen"/>
        </w:rPr>
        <w:footnoteRef/>
      </w:r>
      <w:r>
        <w:t xml:space="preserve"> Anne Hartmann: Lion Feuchtwangers Dolmetscherin. Die Rapporte der Dora </w:t>
      </w:r>
      <w:proofErr w:type="spellStart"/>
      <w:r>
        <w:t>Karawkina</w:t>
      </w:r>
      <w:proofErr w:type="spellEnd"/>
      <w:r>
        <w:t xml:space="preserve">. – In: </w:t>
      </w:r>
      <w:r>
        <w:rPr>
          <w:i/>
        </w:rPr>
        <w:t>Exil</w:t>
      </w:r>
      <w:r>
        <w:t xml:space="preserve"> 30 (2010), H. 1, S. </w:t>
      </w:r>
      <w:r w:rsidR="00C20E2A">
        <w:t>32</w:t>
      </w:r>
      <w:r>
        <w:t>.</w:t>
      </w:r>
    </w:p>
  </w:footnote>
  <w:footnote w:id="81">
    <w:p w:rsidR="00360F4F" w:rsidRPr="00F270A3" w:rsidRDefault="00360F4F">
      <w:pPr>
        <w:pStyle w:val="Funotentext"/>
      </w:pPr>
      <w:r>
        <w:rPr>
          <w:rStyle w:val="Funotenzeichen"/>
        </w:rPr>
        <w:footnoteRef/>
      </w:r>
      <w:r>
        <w:t xml:space="preserve"> Anne Hartmann: Lion Feuchtwangers Dolmetscherin. Die Rapporte der Dora </w:t>
      </w:r>
      <w:proofErr w:type="spellStart"/>
      <w:r>
        <w:t>Karawkina</w:t>
      </w:r>
      <w:proofErr w:type="spellEnd"/>
      <w:r>
        <w:t xml:space="preserve">. – In: </w:t>
      </w:r>
      <w:r>
        <w:rPr>
          <w:i/>
        </w:rPr>
        <w:t>Exil</w:t>
      </w:r>
      <w:r>
        <w:t xml:space="preserve"> 30 (2010), H. 1, S. </w:t>
      </w:r>
      <w:r w:rsidR="00C20E2A">
        <w:t>40 f</w:t>
      </w:r>
      <w:r>
        <w:t>.</w:t>
      </w:r>
      <w:r w:rsidR="00EA433B">
        <w:t>, auch S. 31.</w:t>
      </w:r>
    </w:p>
  </w:footnote>
  <w:footnote w:id="82">
    <w:p w:rsidR="00360F4F" w:rsidRDefault="00360F4F">
      <w:pPr>
        <w:pStyle w:val="Funotentext"/>
      </w:pPr>
      <w:r>
        <w:rPr>
          <w:rStyle w:val="Funotenzeichen"/>
        </w:rPr>
        <w:footnoteRef/>
      </w:r>
      <w:r>
        <w:t xml:space="preserve"> Ebd., S. </w:t>
      </w:r>
      <w:r w:rsidR="00EA433B">
        <w:t>34</w:t>
      </w:r>
      <w:r>
        <w:t>. Hervorhebung – F.T.</w:t>
      </w:r>
    </w:p>
  </w:footnote>
  <w:footnote w:id="83">
    <w:p w:rsidR="00360F4F" w:rsidRPr="00FA3291" w:rsidRDefault="00360F4F">
      <w:pPr>
        <w:pStyle w:val="Funotentext"/>
      </w:pPr>
      <w:r>
        <w:rPr>
          <w:rStyle w:val="Funotenzeichen"/>
        </w:rPr>
        <w:footnoteRef/>
      </w:r>
      <w:r>
        <w:t xml:space="preserve"> Dies ist Feuchtwangers Formulierung! (Feuchtwanger: </w:t>
      </w:r>
      <w:r>
        <w:rPr>
          <w:i/>
        </w:rPr>
        <w:t>Moskau</w:t>
      </w:r>
      <w:r>
        <w:t>, S. 67)</w:t>
      </w:r>
    </w:p>
  </w:footnote>
  <w:footnote w:id="84">
    <w:p w:rsidR="00360F4F" w:rsidRDefault="00360F4F">
      <w:pPr>
        <w:pStyle w:val="Funotentext"/>
      </w:pPr>
      <w:r>
        <w:rPr>
          <w:rStyle w:val="Funotenzeichen"/>
        </w:rPr>
        <w:footnoteRef/>
      </w:r>
      <w:r>
        <w:t xml:space="preserve"> Ebd., S. 66 – 69. – Die Sowjetunion war für die Hitler-Flüchtlinge </w:t>
      </w:r>
      <w:r w:rsidRPr="00FB2B50">
        <w:rPr>
          <w:i/>
        </w:rPr>
        <w:t>kein</w:t>
      </w:r>
      <w:r>
        <w:t xml:space="preserve"> Asylland. Einreiseerlaubnis und Au</w:t>
      </w:r>
      <w:r>
        <w:t>f</w:t>
      </w:r>
      <w:r>
        <w:t>enthaltsgenehmigung wurden strikt selektiv erteilt. „Unpolitische“ Emigranten hatten dabei keine Chance zur Einreise.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02"/>
      <w:docPartObj>
        <w:docPartGallery w:val="Page Numbers (Top of Page)"/>
        <w:docPartUnique/>
      </w:docPartObj>
    </w:sdtPr>
    <w:sdtEndPr/>
    <w:sdtContent>
      <w:p w:rsidR="00360F4F" w:rsidRDefault="005933EA">
        <w:pPr>
          <w:pStyle w:val="Kopfzeile"/>
          <w:jc w:val="right"/>
        </w:pPr>
        <w:r>
          <w:fldChar w:fldCharType="begin"/>
        </w:r>
        <w:r>
          <w:instrText xml:space="preserve"> PAGE   \* MERGEFORMAT </w:instrText>
        </w:r>
        <w:r>
          <w:fldChar w:fldCharType="separate"/>
        </w:r>
        <w:r w:rsidR="00E41506">
          <w:rPr>
            <w:noProof/>
          </w:rPr>
          <w:t>17</w:t>
        </w:r>
        <w:r>
          <w:rPr>
            <w:noProof/>
          </w:rPr>
          <w:fldChar w:fldCharType="end"/>
        </w:r>
      </w:p>
    </w:sdtContent>
  </w:sdt>
  <w:p w:rsidR="00360F4F" w:rsidRDefault="00360F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24BA"/>
    <w:rsid w:val="000112E1"/>
    <w:rsid w:val="000112E5"/>
    <w:rsid w:val="00012515"/>
    <w:rsid w:val="000175A1"/>
    <w:rsid w:val="00042E0B"/>
    <w:rsid w:val="00057A81"/>
    <w:rsid w:val="00076C76"/>
    <w:rsid w:val="0009399F"/>
    <w:rsid w:val="000A1820"/>
    <w:rsid w:val="000B3E8B"/>
    <w:rsid w:val="000B659F"/>
    <w:rsid w:val="000D2786"/>
    <w:rsid w:val="00102251"/>
    <w:rsid w:val="00116AF9"/>
    <w:rsid w:val="00117057"/>
    <w:rsid w:val="00126C33"/>
    <w:rsid w:val="00131C61"/>
    <w:rsid w:val="00134F10"/>
    <w:rsid w:val="00140C9B"/>
    <w:rsid w:val="001458B2"/>
    <w:rsid w:val="001633E6"/>
    <w:rsid w:val="0016477A"/>
    <w:rsid w:val="00165C55"/>
    <w:rsid w:val="00186914"/>
    <w:rsid w:val="001917CE"/>
    <w:rsid w:val="00193785"/>
    <w:rsid w:val="001940AB"/>
    <w:rsid w:val="001A069A"/>
    <w:rsid w:val="001A2AEB"/>
    <w:rsid w:val="001D2EE5"/>
    <w:rsid w:val="001D79D0"/>
    <w:rsid w:val="001E0C58"/>
    <w:rsid w:val="001E69F9"/>
    <w:rsid w:val="00200CAD"/>
    <w:rsid w:val="00207239"/>
    <w:rsid w:val="00210660"/>
    <w:rsid w:val="00217428"/>
    <w:rsid w:val="00241454"/>
    <w:rsid w:val="00253515"/>
    <w:rsid w:val="00255C32"/>
    <w:rsid w:val="00257662"/>
    <w:rsid w:val="00257745"/>
    <w:rsid w:val="00263AF6"/>
    <w:rsid w:val="00265DE8"/>
    <w:rsid w:val="00266FC8"/>
    <w:rsid w:val="00277519"/>
    <w:rsid w:val="00284557"/>
    <w:rsid w:val="00295372"/>
    <w:rsid w:val="002A20F0"/>
    <w:rsid w:val="002B245F"/>
    <w:rsid w:val="002B3FCB"/>
    <w:rsid w:val="00323E1F"/>
    <w:rsid w:val="0032416F"/>
    <w:rsid w:val="00335B87"/>
    <w:rsid w:val="00350570"/>
    <w:rsid w:val="00353AD8"/>
    <w:rsid w:val="00354C2F"/>
    <w:rsid w:val="00360F4F"/>
    <w:rsid w:val="003710C2"/>
    <w:rsid w:val="003724BA"/>
    <w:rsid w:val="003759F7"/>
    <w:rsid w:val="0038458C"/>
    <w:rsid w:val="003902D5"/>
    <w:rsid w:val="003934A9"/>
    <w:rsid w:val="003B1A0B"/>
    <w:rsid w:val="003D4815"/>
    <w:rsid w:val="00404934"/>
    <w:rsid w:val="00407D6D"/>
    <w:rsid w:val="004145C1"/>
    <w:rsid w:val="0042235B"/>
    <w:rsid w:val="00441DF9"/>
    <w:rsid w:val="00443746"/>
    <w:rsid w:val="004514A0"/>
    <w:rsid w:val="00452F80"/>
    <w:rsid w:val="00461FF0"/>
    <w:rsid w:val="004933C4"/>
    <w:rsid w:val="004B66E1"/>
    <w:rsid w:val="004B76AA"/>
    <w:rsid w:val="004C24ED"/>
    <w:rsid w:val="004C3A12"/>
    <w:rsid w:val="004D40B5"/>
    <w:rsid w:val="004E1F2C"/>
    <w:rsid w:val="004E79C9"/>
    <w:rsid w:val="004F16E3"/>
    <w:rsid w:val="004F1819"/>
    <w:rsid w:val="004F7076"/>
    <w:rsid w:val="0052506B"/>
    <w:rsid w:val="00533597"/>
    <w:rsid w:val="00535D07"/>
    <w:rsid w:val="005468DA"/>
    <w:rsid w:val="005649B2"/>
    <w:rsid w:val="00576A82"/>
    <w:rsid w:val="00591802"/>
    <w:rsid w:val="005933EA"/>
    <w:rsid w:val="0059350C"/>
    <w:rsid w:val="00596239"/>
    <w:rsid w:val="005B5CE6"/>
    <w:rsid w:val="005B7018"/>
    <w:rsid w:val="005C3B4F"/>
    <w:rsid w:val="005C7F34"/>
    <w:rsid w:val="005D1103"/>
    <w:rsid w:val="005D60FF"/>
    <w:rsid w:val="005D7BAB"/>
    <w:rsid w:val="005D7BBA"/>
    <w:rsid w:val="0060570F"/>
    <w:rsid w:val="006057D0"/>
    <w:rsid w:val="00613AE5"/>
    <w:rsid w:val="00615429"/>
    <w:rsid w:val="00630BC7"/>
    <w:rsid w:val="00631364"/>
    <w:rsid w:val="00636886"/>
    <w:rsid w:val="00661006"/>
    <w:rsid w:val="00667D8C"/>
    <w:rsid w:val="006718C6"/>
    <w:rsid w:val="0067548B"/>
    <w:rsid w:val="00690C13"/>
    <w:rsid w:val="00691777"/>
    <w:rsid w:val="006A19C9"/>
    <w:rsid w:val="006A28B3"/>
    <w:rsid w:val="006B09D6"/>
    <w:rsid w:val="006B5D08"/>
    <w:rsid w:val="006C2923"/>
    <w:rsid w:val="006D2565"/>
    <w:rsid w:val="006E550C"/>
    <w:rsid w:val="006F1FE3"/>
    <w:rsid w:val="0072409C"/>
    <w:rsid w:val="00724A40"/>
    <w:rsid w:val="00731034"/>
    <w:rsid w:val="00740205"/>
    <w:rsid w:val="007417E8"/>
    <w:rsid w:val="00751A64"/>
    <w:rsid w:val="00751F69"/>
    <w:rsid w:val="00752554"/>
    <w:rsid w:val="007603E6"/>
    <w:rsid w:val="007772A2"/>
    <w:rsid w:val="007A58CD"/>
    <w:rsid w:val="007C3520"/>
    <w:rsid w:val="007C4CCD"/>
    <w:rsid w:val="007D0EA6"/>
    <w:rsid w:val="007D3DEE"/>
    <w:rsid w:val="007E10BA"/>
    <w:rsid w:val="007F2595"/>
    <w:rsid w:val="007F7312"/>
    <w:rsid w:val="00806332"/>
    <w:rsid w:val="0080745D"/>
    <w:rsid w:val="0080784B"/>
    <w:rsid w:val="00811F2C"/>
    <w:rsid w:val="00814110"/>
    <w:rsid w:val="008211C8"/>
    <w:rsid w:val="0082776C"/>
    <w:rsid w:val="008337F2"/>
    <w:rsid w:val="00835314"/>
    <w:rsid w:val="00837A8E"/>
    <w:rsid w:val="008523B1"/>
    <w:rsid w:val="00854CBA"/>
    <w:rsid w:val="00862700"/>
    <w:rsid w:val="0086544B"/>
    <w:rsid w:val="00867D0F"/>
    <w:rsid w:val="00892A88"/>
    <w:rsid w:val="00894947"/>
    <w:rsid w:val="008B3C63"/>
    <w:rsid w:val="008B48AA"/>
    <w:rsid w:val="008C0129"/>
    <w:rsid w:val="008C4FB6"/>
    <w:rsid w:val="008C7BC7"/>
    <w:rsid w:val="008E3E09"/>
    <w:rsid w:val="008E6CB9"/>
    <w:rsid w:val="008F66B1"/>
    <w:rsid w:val="0091124C"/>
    <w:rsid w:val="00916E0E"/>
    <w:rsid w:val="00925704"/>
    <w:rsid w:val="00941B48"/>
    <w:rsid w:val="00947DE3"/>
    <w:rsid w:val="00952D06"/>
    <w:rsid w:val="009569FA"/>
    <w:rsid w:val="00956B63"/>
    <w:rsid w:val="00960611"/>
    <w:rsid w:val="00963745"/>
    <w:rsid w:val="00972A5C"/>
    <w:rsid w:val="00984C21"/>
    <w:rsid w:val="009872CE"/>
    <w:rsid w:val="00990BAF"/>
    <w:rsid w:val="00993562"/>
    <w:rsid w:val="009A3D79"/>
    <w:rsid w:val="009D107E"/>
    <w:rsid w:val="009D5514"/>
    <w:rsid w:val="009D58E3"/>
    <w:rsid w:val="009D733D"/>
    <w:rsid w:val="009E1EDF"/>
    <w:rsid w:val="009E5797"/>
    <w:rsid w:val="009F06DE"/>
    <w:rsid w:val="009F2924"/>
    <w:rsid w:val="009F6C31"/>
    <w:rsid w:val="00A155FB"/>
    <w:rsid w:val="00A21078"/>
    <w:rsid w:val="00A32D58"/>
    <w:rsid w:val="00A3492C"/>
    <w:rsid w:val="00A524F4"/>
    <w:rsid w:val="00A5434F"/>
    <w:rsid w:val="00A64C04"/>
    <w:rsid w:val="00A80A0F"/>
    <w:rsid w:val="00A80CAC"/>
    <w:rsid w:val="00A8634F"/>
    <w:rsid w:val="00A87910"/>
    <w:rsid w:val="00A95AD9"/>
    <w:rsid w:val="00AA1E23"/>
    <w:rsid w:val="00AA4BC8"/>
    <w:rsid w:val="00AA6454"/>
    <w:rsid w:val="00AC140B"/>
    <w:rsid w:val="00AC2C65"/>
    <w:rsid w:val="00AC6DC3"/>
    <w:rsid w:val="00AD015C"/>
    <w:rsid w:val="00AD25DC"/>
    <w:rsid w:val="00AD308E"/>
    <w:rsid w:val="00AD5200"/>
    <w:rsid w:val="00AD6D30"/>
    <w:rsid w:val="00AD7D51"/>
    <w:rsid w:val="00AF3955"/>
    <w:rsid w:val="00AF5D89"/>
    <w:rsid w:val="00B067D3"/>
    <w:rsid w:val="00B0728E"/>
    <w:rsid w:val="00B22C10"/>
    <w:rsid w:val="00B23D01"/>
    <w:rsid w:val="00B44591"/>
    <w:rsid w:val="00B816F2"/>
    <w:rsid w:val="00BA00D3"/>
    <w:rsid w:val="00BA500D"/>
    <w:rsid w:val="00BA661E"/>
    <w:rsid w:val="00BB1EF0"/>
    <w:rsid w:val="00BC1218"/>
    <w:rsid w:val="00BC4E86"/>
    <w:rsid w:val="00BC4FA1"/>
    <w:rsid w:val="00BD7AED"/>
    <w:rsid w:val="00BE3015"/>
    <w:rsid w:val="00BF3BCF"/>
    <w:rsid w:val="00C14C31"/>
    <w:rsid w:val="00C20E2A"/>
    <w:rsid w:val="00C246FD"/>
    <w:rsid w:val="00C440CD"/>
    <w:rsid w:val="00C52CBD"/>
    <w:rsid w:val="00C52E0A"/>
    <w:rsid w:val="00C54CFF"/>
    <w:rsid w:val="00C56325"/>
    <w:rsid w:val="00C6047C"/>
    <w:rsid w:val="00C62208"/>
    <w:rsid w:val="00C801B9"/>
    <w:rsid w:val="00C82676"/>
    <w:rsid w:val="00C92DD7"/>
    <w:rsid w:val="00CA3495"/>
    <w:rsid w:val="00CA7EB6"/>
    <w:rsid w:val="00CB6621"/>
    <w:rsid w:val="00CB6A46"/>
    <w:rsid w:val="00CC49C7"/>
    <w:rsid w:val="00CE0CEB"/>
    <w:rsid w:val="00CE7F55"/>
    <w:rsid w:val="00CF06D3"/>
    <w:rsid w:val="00CF2481"/>
    <w:rsid w:val="00CF7D44"/>
    <w:rsid w:val="00D02542"/>
    <w:rsid w:val="00D11101"/>
    <w:rsid w:val="00D1220E"/>
    <w:rsid w:val="00D207D8"/>
    <w:rsid w:val="00D40BD6"/>
    <w:rsid w:val="00D453D9"/>
    <w:rsid w:val="00D507E5"/>
    <w:rsid w:val="00D5663D"/>
    <w:rsid w:val="00D62078"/>
    <w:rsid w:val="00D734E9"/>
    <w:rsid w:val="00D7632A"/>
    <w:rsid w:val="00D90267"/>
    <w:rsid w:val="00D929B1"/>
    <w:rsid w:val="00D9629B"/>
    <w:rsid w:val="00DA0196"/>
    <w:rsid w:val="00DA7D8C"/>
    <w:rsid w:val="00DC3BB9"/>
    <w:rsid w:val="00DD4E27"/>
    <w:rsid w:val="00DE1973"/>
    <w:rsid w:val="00DE3F30"/>
    <w:rsid w:val="00DE52C6"/>
    <w:rsid w:val="00E07F11"/>
    <w:rsid w:val="00E41506"/>
    <w:rsid w:val="00E6596F"/>
    <w:rsid w:val="00E7695A"/>
    <w:rsid w:val="00E76F13"/>
    <w:rsid w:val="00E802FB"/>
    <w:rsid w:val="00E914FB"/>
    <w:rsid w:val="00E9526F"/>
    <w:rsid w:val="00EA2324"/>
    <w:rsid w:val="00EA433B"/>
    <w:rsid w:val="00EA52E1"/>
    <w:rsid w:val="00EA7BB5"/>
    <w:rsid w:val="00EE4CE1"/>
    <w:rsid w:val="00EE7A0D"/>
    <w:rsid w:val="00F0335E"/>
    <w:rsid w:val="00F15D13"/>
    <w:rsid w:val="00F26CF5"/>
    <w:rsid w:val="00F270A3"/>
    <w:rsid w:val="00F304D3"/>
    <w:rsid w:val="00F44A1B"/>
    <w:rsid w:val="00F55DF3"/>
    <w:rsid w:val="00F57323"/>
    <w:rsid w:val="00F65DDC"/>
    <w:rsid w:val="00F66CCF"/>
    <w:rsid w:val="00F738E1"/>
    <w:rsid w:val="00F820B6"/>
    <w:rsid w:val="00F92CCE"/>
    <w:rsid w:val="00FA3291"/>
    <w:rsid w:val="00FB0CBB"/>
    <w:rsid w:val="00FB2B50"/>
    <w:rsid w:val="00FB626F"/>
    <w:rsid w:val="00FC3928"/>
    <w:rsid w:val="00FD761C"/>
    <w:rsid w:val="00FF3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10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4BA"/>
  </w:style>
  <w:style w:type="paragraph" w:styleId="Fuzeile">
    <w:name w:val="footer"/>
    <w:basedOn w:val="Standard"/>
    <w:link w:val="FuzeileZchn"/>
    <w:uiPriority w:val="99"/>
    <w:semiHidden/>
    <w:unhideWhenUsed/>
    <w:rsid w:val="003724B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724BA"/>
  </w:style>
  <w:style w:type="paragraph" w:styleId="Funotentext">
    <w:name w:val="footnote text"/>
    <w:basedOn w:val="Standard"/>
    <w:link w:val="FunotentextZchn"/>
    <w:uiPriority w:val="99"/>
    <w:semiHidden/>
    <w:unhideWhenUsed/>
    <w:rsid w:val="005B5CE6"/>
    <w:pPr>
      <w:spacing w:after="0" w:line="240" w:lineRule="auto"/>
    </w:pPr>
  </w:style>
  <w:style w:type="character" w:customStyle="1" w:styleId="FunotentextZchn">
    <w:name w:val="Fußnotentext Zchn"/>
    <w:basedOn w:val="Absatz-Standardschriftart"/>
    <w:link w:val="Funotentext"/>
    <w:uiPriority w:val="99"/>
    <w:semiHidden/>
    <w:rsid w:val="005B5CE6"/>
  </w:style>
  <w:style w:type="character" w:styleId="Funotenzeichen">
    <w:name w:val="footnote reference"/>
    <w:basedOn w:val="Absatz-Standardschriftart"/>
    <w:uiPriority w:val="99"/>
    <w:semiHidden/>
    <w:unhideWhenUsed/>
    <w:rsid w:val="005B5CE6"/>
    <w:rPr>
      <w:vertAlign w:val="superscript"/>
    </w:rPr>
  </w:style>
  <w:style w:type="paragraph" w:styleId="Endnotentext">
    <w:name w:val="endnote text"/>
    <w:basedOn w:val="Standard"/>
    <w:link w:val="EndnotentextZchn"/>
    <w:semiHidden/>
    <w:unhideWhenUsed/>
    <w:rsid w:val="0060570F"/>
    <w:pPr>
      <w:spacing w:after="0" w:line="240" w:lineRule="auto"/>
    </w:pPr>
  </w:style>
  <w:style w:type="character" w:customStyle="1" w:styleId="EndnotentextZchn">
    <w:name w:val="Endnotentext Zchn"/>
    <w:basedOn w:val="Absatz-Standardschriftart"/>
    <w:link w:val="Endnotentext"/>
    <w:uiPriority w:val="99"/>
    <w:semiHidden/>
    <w:rsid w:val="0060570F"/>
  </w:style>
  <w:style w:type="character" w:styleId="Endnotenzeichen">
    <w:name w:val="endnote reference"/>
    <w:basedOn w:val="Absatz-Standardschriftart"/>
    <w:semiHidden/>
    <w:unhideWhenUsed/>
    <w:rsid w:val="0060570F"/>
    <w:rPr>
      <w:vertAlign w:val="superscript"/>
    </w:rPr>
  </w:style>
  <w:style w:type="paragraph" w:customStyle="1" w:styleId="childview">
    <w:name w:val="childview"/>
    <w:basedOn w:val="Standard"/>
    <w:rsid w:val="00862700"/>
    <w:pPr>
      <w:spacing w:before="100" w:beforeAutospacing="1" w:after="100" w:afterAutospacing="1" w:line="240" w:lineRule="auto"/>
    </w:pPr>
    <w:rPr>
      <w:rFonts w:eastAsia="Times New Roman" w:cs="Times New Roman"/>
      <w:sz w:val="24"/>
      <w:szCs w:val="24"/>
      <w:lang w:eastAsia="de-DE"/>
    </w:rPr>
  </w:style>
  <w:style w:type="paragraph" w:styleId="Sprechblasentext">
    <w:name w:val="Balloon Text"/>
    <w:basedOn w:val="Standard"/>
    <w:link w:val="SprechblasentextZchn"/>
    <w:uiPriority w:val="99"/>
    <w:semiHidden/>
    <w:unhideWhenUsed/>
    <w:rsid w:val="00DE3F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04CD-DA9E-4CBE-8D0D-48273A4D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5913</Words>
  <Characters>37252</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2010-12-05T14:11:00Z</cp:lastPrinted>
  <dcterms:created xsi:type="dcterms:W3CDTF">2011-08-26T08:26:00Z</dcterms:created>
  <dcterms:modified xsi:type="dcterms:W3CDTF">2012-08-01T14:14:00Z</dcterms:modified>
</cp:coreProperties>
</file>