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DD" w:rsidRPr="000F0710" w:rsidRDefault="00C82ADD" w:rsidP="00C82ADD">
      <w:pPr>
        <w:spacing w:after="0"/>
        <w:jc w:val="center"/>
        <w:rPr>
          <w:b/>
          <w:u w:val="single"/>
        </w:rPr>
      </w:pPr>
      <w:r w:rsidRPr="000F0710">
        <w:rPr>
          <w:b/>
          <w:u w:val="single"/>
        </w:rPr>
        <w:t>I.</w:t>
      </w:r>
      <w:r w:rsidRPr="000F0710">
        <w:rPr>
          <w:u w:val="single"/>
        </w:rPr>
        <w:t xml:space="preserve"> </w:t>
      </w:r>
      <w:r w:rsidRPr="000F0710">
        <w:rPr>
          <w:b/>
          <w:u w:val="single"/>
        </w:rPr>
        <w:t>Teil: Die Verfolgungsmaßnahmen der ersten Jahreshälfte 1933, das Schriftstellerexil der Vorkriegsphase; die Literatur im innerdeutschen „Kulturghetto“</w:t>
      </w:r>
    </w:p>
    <w:p w:rsidR="00C82ADD" w:rsidRPr="000F0710" w:rsidRDefault="00C82ADD" w:rsidP="00665EE9">
      <w:pPr>
        <w:spacing w:after="0"/>
        <w:rPr>
          <w:b/>
        </w:rPr>
      </w:pPr>
    </w:p>
    <w:p w:rsidR="00C82ADD" w:rsidRPr="000F0710" w:rsidRDefault="00C82ADD" w:rsidP="00665EE9">
      <w:pPr>
        <w:spacing w:after="0"/>
        <w:rPr>
          <w:b/>
        </w:rPr>
      </w:pPr>
    </w:p>
    <w:p w:rsidR="00526A3C" w:rsidRPr="000F0710" w:rsidRDefault="0092736D" w:rsidP="00665EE9">
      <w:pPr>
        <w:spacing w:after="0"/>
        <w:rPr>
          <w:b/>
        </w:rPr>
      </w:pPr>
      <w:r>
        <w:rPr>
          <w:b/>
        </w:rPr>
        <w:t>(</w:t>
      </w:r>
      <w:r w:rsidR="00567E3D">
        <w:rPr>
          <w:b/>
        </w:rPr>
        <w:t>2</w:t>
      </w:r>
      <w:r>
        <w:rPr>
          <w:b/>
        </w:rPr>
        <w:t xml:space="preserve">) </w:t>
      </w:r>
      <w:r w:rsidR="009B489A" w:rsidRPr="000F0710">
        <w:rPr>
          <w:b/>
        </w:rPr>
        <w:t>2.</w:t>
      </w:r>
      <w:r>
        <w:rPr>
          <w:b/>
        </w:rPr>
        <w:t xml:space="preserve"> Kapitel:</w:t>
      </w:r>
      <w:r w:rsidR="009B489A" w:rsidRPr="000F0710">
        <w:rPr>
          <w:b/>
        </w:rPr>
        <w:t xml:space="preserve"> Die Aufhebung des Rechtsstaates</w:t>
      </w:r>
      <w:r w:rsidR="00152788" w:rsidRPr="000F0710">
        <w:rPr>
          <w:b/>
        </w:rPr>
        <w:t xml:space="preserve"> </w:t>
      </w:r>
    </w:p>
    <w:p w:rsidR="008D6B67" w:rsidRPr="000F0710" w:rsidRDefault="008D6B67" w:rsidP="00665EE9">
      <w:pPr>
        <w:spacing w:after="0"/>
      </w:pPr>
    </w:p>
    <w:p w:rsidR="00F8034C" w:rsidRPr="000F0710" w:rsidRDefault="00152788" w:rsidP="0033577C">
      <w:pPr>
        <w:pStyle w:val="zitat"/>
        <w:spacing w:before="0" w:beforeAutospacing="0" w:after="0" w:afterAutospacing="0" w:line="276" w:lineRule="auto"/>
        <w:jc w:val="both"/>
      </w:pPr>
      <w:r w:rsidRPr="000F0710">
        <w:t xml:space="preserve">Die Ernennung Adolf Hitlers zum Reichskanzler durch den Reichspräsidenten </w:t>
      </w:r>
      <w:r w:rsidR="00B3385B" w:rsidRPr="000F0710">
        <w:t xml:space="preserve">Paul </w:t>
      </w:r>
      <w:r w:rsidRPr="000F0710">
        <w:t>von Hi</w:t>
      </w:r>
      <w:r w:rsidRPr="000F0710">
        <w:t>n</w:t>
      </w:r>
      <w:r w:rsidRPr="000F0710">
        <w:t xml:space="preserve">denburg </w:t>
      </w:r>
      <w:r w:rsidR="00B3385B" w:rsidRPr="000F0710">
        <w:t>war</w:t>
      </w:r>
      <w:r w:rsidRPr="000F0710">
        <w:t xml:space="preserve"> </w:t>
      </w:r>
      <w:r w:rsidR="00FC558C" w:rsidRPr="000F0710">
        <w:t>ein</w:t>
      </w:r>
      <w:r w:rsidR="00D97317" w:rsidRPr="000F0710">
        <w:t xml:space="preserve"> Akt, der allen Vorstellungen von</w:t>
      </w:r>
      <w:r w:rsidR="00FC558C" w:rsidRPr="000F0710">
        <w:t xml:space="preserve"> Rechtsstaat</w:t>
      </w:r>
      <w:r w:rsidR="00D97317" w:rsidRPr="000F0710">
        <w:t>lichkeit zuwider lief</w:t>
      </w:r>
      <w:r w:rsidR="00B3385B" w:rsidRPr="000F0710">
        <w:t>.</w:t>
      </w:r>
      <w:r w:rsidRPr="000F0710">
        <w:t xml:space="preserve"> </w:t>
      </w:r>
      <w:r w:rsidR="00B4142D" w:rsidRPr="000F0710">
        <w:t xml:space="preserve">Hitler war </w:t>
      </w:r>
      <w:r w:rsidR="00D97317" w:rsidRPr="000F0710">
        <w:t>k</w:t>
      </w:r>
      <w:r w:rsidR="00B4142D" w:rsidRPr="000F0710">
        <w:t xml:space="preserve">ein </w:t>
      </w:r>
      <w:r w:rsidR="00D97317" w:rsidRPr="000F0710">
        <w:t xml:space="preserve">Parteiführer wie andere – er war ein </w:t>
      </w:r>
      <w:r w:rsidR="00B4142D" w:rsidRPr="000F0710">
        <w:t xml:space="preserve">rechtskräftig verurteilter Putschist. </w:t>
      </w:r>
      <w:r w:rsidR="00CE4350" w:rsidRPr="000F0710">
        <w:t>Nichts</w:t>
      </w:r>
      <w:r w:rsidR="00026CBF" w:rsidRPr="000F0710">
        <w:t xml:space="preserve"> beleuchtet so deutlich den Verfall des demokratischen Denkens und damit den Verfall der Weimarer Republik</w:t>
      </w:r>
      <w:r w:rsidR="00CE4350" w:rsidRPr="000F0710">
        <w:t xml:space="preserve"> wie die Tatsache, dass ein Putschist dieses Amt erhalten konnte.</w:t>
      </w:r>
      <w:r w:rsidR="00026CBF" w:rsidRPr="000F0710">
        <w:t xml:space="preserve"> </w:t>
      </w:r>
      <w:r w:rsidR="00CE4350" w:rsidRPr="000F0710">
        <w:t xml:space="preserve">Indem die </w:t>
      </w:r>
      <w:r w:rsidR="00B3385B" w:rsidRPr="000F0710">
        <w:t>konse</w:t>
      </w:r>
      <w:r w:rsidR="00B3385B" w:rsidRPr="000F0710">
        <w:t>r</w:t>
      </w:r>
      <w:r w:rsidR="00B3385B" w:rsidRPr="000F0710">
        <w:t>vativen Eliten</w:t>
      </w:r>
      <w:r w:rsidR="00026CBF" w:rsidRPr="000F0710">
        <w:t xml:space="preserve"> in Politik und Wirtschaft</w:t>
      </w:r>
      <w:r w:rsidR="00CE4350" w:rsidRPr="000F0710">
        <w:t xml:space="preserve"> bereit waren</w:t>
      </w:r>
      <w:r w:rsidR="00F8034C" w:rsidRPr="000F0710">
        <w:t>,</w:t>
      </w:r>
      <w:r w:rsidR="00B3385B" w:rsidRPr="000F0710">
        <w:t xml:space="preserve"> </w:t>
      </w:r>
      <w:r w:rsidR="00FC558C" w:rsidRPr="000F0710">
        <w:t>die</w:t>
      </w:r>
      <w:r w:rsidR="00B4142D" w:rsidRPr="000F0710">
        <w:t xml:space="preserve"> </w:t>
      </w:r>
      <w:r w:rsidR="00B3385B" w:rsidRPr="000F0710">
        <w:t xml:space="preserve">Ernennung </w:t>
      </w:r>
      <w:r w:rsidR="00FC558C" w:rsidRPr="000F0710">
        <w:t xml:space="preserve">eines </w:t>
      </w:r>
      <w:r w:rsidR="00026CBF" w:rsidRPr="000F0710">
        <w:t>derartig</w:t>
      </w:r>
      <w:r w:rsidR="00D7745F" w:rsidRPr="000F0710">
        <w:t xml:space="preserve">en </w:t>
      </w:r>
      <w:r w:rsidR="00026CBF" w:rsidRPr="000F0710">
        <w:t>Manne</w:t>
      </w:r>
      <w:r w:rsidR="00D7745F" w:rsidRPr="000F0710">
        <w:t>s</w:t>
      </w:r>
      <w:r w:rsidR="00B3385B" w:rsidRPr="000F0710">
        <w:t xml:space="preserve"> </w:t>
      </w:r>
      <w:r w:rsidR="00F8034C" w:rsidRPr="000F0710">
        <w:t xml:space="preserve">zu befürworten und </w:t>
      </w:r>
      <w:r w:rsidR="00B4142D" w:rsidRPr="000F0710">
        <w:t xml:space="preserve">eine von ihm geleitete Regierung </w:t>
      </w:r>
      <w:r w:rsidR="00B3385B" w:rsidRPr="000F0710">
        <w:t>mitzutragen</w:t>
      </w:r>
      <w:r w:rsidR="00CE4350" w:rsidRPr="000F0710">
        <w:t xml:space="preserve">, zeigten sie, dass sie wie Hitler </w:t>
      </w:r>
      <w:r w:rsidR="00D7745F" w:rsidRPr="000F0710">
        <w:t>d</w:t>
      </w:r>
      <w:r w:rsidR="0039760E" w:rsidRPr="000F0710">
        <w:t xml:space="preserve">ie Republik </w:t>
      </w:r>
      <w:r w:rsidR="001E2C60" w:rsidRPr="000F0710">
        <w:t xml:space="preserve">und </w:t>
      </w:r>
      <w:r w:rsidR="00B4142D" w:rsidRPr="000F0710">
        <w:t xml:space="preserve">ihre </w:t>
      </w:r>
      <w:r w:rsidR="001E2C60" w:rsidRPr="000F0710">
        <w:t xml:space="preserve">Verfassung </w:t>
      </w:r>
      <w:r w:rsidR="0039760E" w:rsidRPr="000F0710">
        <w:t>ablehnten</w:t>
      </w:r>
      <w:r w:rsidR="00B4142D" w:rsidRPr="000F0710">
        <w:t xml:space="preserve">. </w:t>
      </w:r>
      <w:r w:rsidR="00CE4350" w:rsidRPr="000F0710">
        <w:t xml:space="preserve">Hitlers </w:t>
      </w:r>
      <w:r w:rsidR="00D7745F" w:rsidRPr="000F0710">
        <w:t xml:space="preserve">Ernennung zum Reichskanzler war ein </w:t>
      </w:r>
      <w:r w:rsidR="00CE4350" w:rsidRPr="000F0710">
        <w:t>erneuter</w:t>
      </w:r>
      <w:r w:rsidR="00D7745F" w:rsidRPr="000F0710">
        <w:t xml:space="preserve">, </w:t>
      </w:r>
      <w:r w:rsidR="00CE4350" w:rsidRPr="000F0710">
        <w:t>in schein</w:t>
      </w:r>
      <w:r w:rsidR="00D7745F" w:rsidRPr="000F0710">
        <w:t xml:space="preserve">legaler Form vollzogener </w:t>
      </w:r>
      <w:r w:rsidR="00CE4350" w:rsidRPr="000F0710">
        <w:t>Putschversuch</w:t>
      </w:r>
      <w:r w:rsidR="0039760E" w:rsidRPr="000F0710">
        <w:t>.</w:t>
      </w:r>
    </w:p>
    <w:p w:rsidR="00FC558C" w:rsidRPr="000F0710" w:rsidRDefault="00FC558C" w:rsidP="0033577C">
      <w:pPr>
        <w:pStyle w:val="zitat"/>
        <w:spacing w:before="0" w:beforeAutospacing="0" w:after="0" w:afterAutospacing="0" w:line="276" w:lineRule="auto"/>
        <w:jc w:val="both"/>
      </w:pPr>
    </w:p>
    <w:p w:rsidR="004049E1" w:rsidRPr="000F0710" w:rsidRDefault="0039760E" w:rsidP="0033577C">
      <w:pPr>
        <w:pStyle w:val="zitat"/>
        <w:spacing w:before="0" w:beforeAutospacing="0" w:after="0" w:afterAutospacing="0" w:line="276" w:lineRule="auto"/>
        <w:ind w:firstLine="708"/>
        <w:jc w:val="both"/>
      </w:pPr>
      <w:r w:rsidRPr="000F0710">
        <w:t xml:space="preserve">Um </w:t>
      </w:r>
      <w:r w:rsidR="00D7745F" w:rsidRPr="000F0710">
        <w:t xml:space="preserve">einen Eindruck von Hitlers </w:t>
      </w:r>
      <w:r w:rsidRPr="000F0710">
        <w:t>Pers</w:t>
      </w:r>
      <w:r w:rsidR="00D7745F" w:rsidRPr="000F0710">
        <w:t xml:space="preserve">önlichkeit zu </w:t>
      </w:r>
      <w:r w:rsidR="00D97317" w:rsidRPr="000F0710">
        <w:t>gewinn</w:t>
      </w:r>
      <w:r w:rsidR="00D7745F" w:rsidRPr="000F0710">
        <w:t>en, genügt</w:t>
      </w:r>
      <w:r w:rsidRPr="000F0710">
        <w:t xml:space="preserve"> ein Blick auf den sog. </w:t>
      </w:r>
      <w:proofErr w:type="spellStart"/>
      <w:r w:rsidRPr="000F0710">
        <w:t>Potempa</w:t>
      </w:r>
      <w:proofErr w:type="spellEnd"/>
      <w:r w:rsidRPr="000F0710">
        <w:t xml:space="preserve">-Mord </w:t>
      </w:r>
      <w:r w:rsidR="00D509F9" w:rsidRPr="000F0710">
        <w:t>und Hitlers Verhalten gegenüber den Tätern.</w:t>
      </w:r>
      <w:r w:rsidRPr="000F0710">
        <w:t xml:space="preserve"> </w:t>
      </w:r>
    </w:p>
    <w:p w:rsidR="0039760E" w:rsidRPr="000F0710" w:rsidRDefault="007F7315" w:rsidP="0033577C">
      <w:pPr>
        <w:pStyle w:val="zitat"/>
        <w:spacing w:before="0" w:beforeAutospacing="0" w:after="0" w:afterAutospacing="0" w:line="276" w:lineRule="auto"/>
        <w:ind w:firstLine="708"/>
        <w:jc w:val="both"/>
      </w:pPr>
      <w:r w:rsidRPr="000F0710">
        <w:t xml:space="preserve">Im Rahmen der bürgerkriegsähnlichen Auseinandersetzungen, die die Endphase der Weimarer Republik </w:t>
      </w:r>
      <w:r w:rsidR="00D509F9" w:rsidRPr="000F0710">
        <w:t>präg</w:t>
      </w:r>
      <w:r w:rsidRPr="000F0710">
        <w:t xml:space="preserve">ten, hatten </w:t>
      </w:r>
      <w:r w:rsidR="00D509F9" w:rsidRPr="000F0710">
        <w:t xml:space="preserve">in der Nacht vom 9. auf den 10. August 1932 </w:t>
      </w:r>
      <w:r w:rsidR="00526A3C" w:rsidRPr="000F0710">
        <w:t xml:space="preserve">Mitglieder der SA im schlesischen Dorf </w:t>
      </w:r>
      <w:proofErr w:type="spellStart"/>
      <w:r w:rsidR="00526A3C" w:rsidRPr="000F0710">
        <w:t>Potempa</w:t>
      </w:r>
      <w:proofErr w:type="spellEnd"/>
      <w:r w:rsidR="00526A3C" w:rsidRPr="000F0710">
        <w:t xml:space="preserve"> einen beschäftigungslosen Arbeiter und KPD-Sympathisanten auf bestialische Art und Weise ermordet. Der Mordprozess endete mit der Todesstrafe für die Täter. </w:t>
      </w:r>
      <w:r w:rsidR="0039760E" w:rsidRPr="000F0710">
        <w:t>H</w:t>
      </w:r>
      <w:r w:rsidR="00DD63F7" w:rsidRPr="000F0710">
        <w:t xml:space="preserve">itler reagierte </w:t>
      </w:r>
      <w:r w:rsidR="00875983" w:rsidRPr="000F0710">
        <w:t xml:space="preserve">auf dieses Urteil auf </w:t>
      </w:r>
      <w:r w:rsidR="00FC558C" w:rsidRPr="000F0710">
        <w:t>sein</w:t>
      </w:r>
      <w:r w:rsidR="00875983" w:rsidRPr="000F0710">
        <w:t>e Art</w:t>
      </w:r>
      <w:r w:rsidR="0039760E" w:rsidRPr="000F0710">
        <w:t xml:space="preserve"> und Weise</w:t>
      </w:r>
      <w:r w:rsidR="00875983" w:rsidRPr="000F0710">
        <w:t xml:space="preserve">. Er </w:t>
      </w:r>
      <w:r w:rsidR="00DD63F7" w:rsidRPr="000F0710">
        <w:t>schic</w:t>
      </w:r>
      <w:r w:rsidR="00DD63F7" w:rsidRPr="000F0710">
        <w:t>k</w:t>
      </w:r>
      <w:r w:rsidR="00DD63F7" w:rsidRPr="000F0710">
        <w:t xml:space="preserve">te den Tätern </w:t>
      </w:r>
      <w:r w:rsidR="00FC558C" w:rsidRPr="000F0710">
        <w:t xml:space="preserve">ein </w:t>
      </w:r>
      <w:r w:rsidR="00DD63F7" w:rsidRPr="000F0710">
        <w:t>Telegramm</w:t>
      </w:r>
      <w:r w:rsidR="00D509F9" w:rsidRPr="000F0710">
        <w:t xml:space="preserve">, das </w:t>
      </w:r>
      <w:r w:rsidR="00FC558C" w:rsidRPr="000F0710">
        <w:t>s</w:t>
      </w:r>
      <w:r w:rsidR="00D509F9" w:rsidRPr="000F0710">
        <w:t xml:space="preserve">ie nicht nur exkulpierte, sondern die </w:t>
      </w:r>
      <w:r w:rsidR="00FC558C" w:rsidRPr="000F0710">
        <w:t>Schandt</w:t>
      </w:r>
      <w:r w:rsidR="00D509F9" w:rsidRPr="000F0710">
        <w:t xml:space="preserve">at zu einer Angelegenheit der </w:t>
      </w:r>
      <w:r w:rsidR="00B306EC" w:rsidRPr="000F0710">
        <w:t xml:space="preserve">persönlichen </w:t>
      </w:r>
      <w:r w:rsidR="00D509F9" w:rsidRPr="000F0710">
        <w:t>Ehre und de</w:t>
      </w:r>
      <w:r w:rsidR="00B306EC" w:rsidRPr="000F0710">
        <w:t>n</w:t>
      </w:r>
      <w:r w:rsidR="00D509F9" w:rsidRPr="000F0710">
        <w:t xml:space="preserve"> Kampf gegen d</w:t>
      </w:r>
      <w:r w:rsidR="00B306EC" w:rsidRPr="000F0710">
        <w:t>ie Regierung, die dieses</w:t>
      </w:r>
      <w:r w:rsidR="00D509F9" w:rsidRPr="000F0710">
        <w:t xml:space="preserve"> Urteil</w:t>
      </w:r>
      <w:r w:rsidR="00B306EC" w:rsidRPr="000F0710">
        <w:t xml:space="preserve"> verantwortete,</w:t>
      </w:r>
      <w:r w:rsidR="00D509F9" w:rsidRPr="000F0710">
        <w:t xml:space="preserve"> zur ethischen Pflicht erklärte</w:t>
      </w:r>
      <w:r w:rsidR="00DD63F7" w:rsidRPr="000F0710">
        <w:t>: „Meine Kameraden! Angesichts dieses ungehe</w:t>
      </w:r>
      <w:r w:rsidR="00DD63F7" w:rsidRPr="000F0710">
        <w:t>u</w:t>
      </w:r>
      <w:r w:rsidR="00DD63F7" w:rsidRPr="000F0710">
        <w:t xml:space="preserve">erlichen Bluturteils fühle ich mich Euch in unbegrenzter Treue verbunden. Eure Freiheit ist von diesem Augenblick an eine Frage unserer Ehre. Der Kampf gegen eine Regierung, unter der dies möglich war, </w:t>
      </w:r>
      <w:r w:rsidR="00875983" w:rsidRPr="000F0710">
        <w:t xml:space="preserve">ist </w:t>
      </w:r>
      <w:r w:rsidR="00DD63F7" w:rsidRPr="000F0710">
        <w:t>unsere Pflicht!“</w:t>
      </w:r>
      <w:r w:rsidR="00DD63F7" w:rsidRPr="000F0710">
        <w:rPr>
          <w:rStyle w:val="Funotenzeichen"/>
        </w:rPr>
        <w:footnoteReference w:id="1"/>
      </w:r>
      <w:r w:rsidR="00875983" w:rsidRPr="000F0710">
        <w:t xml:space="preserve"> </w:t>
      </w:r>
    </w:p>
    <w:p w:rsidR="00D509F9" w:rsidRPr="000F0710" w:rsidRDefault="00875983" w:rsidP="0033577C">
      <w:pPr>
        <w:pStyle w:val="zitat"/>
        <w:spacing w:before="0" w:beforeAutospacing="0" w:after="0" w:afterAutospacing="0" w:line="276" w:lineRule="auto"/>
        <w:ind w:firstLine="708"/>
        <w:jc w:val="both"/>
      </w:pPr>
      <w:r w:rsidRPr="000F0710">
        <w:t>D</w:t>
      </w:r>
      <w:r w:rsidR="0039760E" w:rsidRPr="000F0710">
        <w:t>a</w:t>
      </w:r>
      <w:r w:rsidRPr="000F0710">
        <w:t xml:space="preserve">s war ein </w:t>
      </w:r>
      <w:r w:rsidR="00FC558C" w:rsidRPr="000F0710">
        <w:t xml:space="preserve">offener </w:t>
      </w:r>
      <w:r w:rsidRPr="000F0710">
        <w:t xml:space="preserve">Affront gegenüber Verfassung und Justiz, </w:t>
      </w:r>
      <w:r w:rsidR="00D509F9" w:rsidRPr="000F0710">
        <w:t>zumal</w:t>
      </w:r>
      <w:r w:rsidRPr="000F0710">
        <w:t xml:space="preserve"> das Urteil auf der Grundlage einer Notverordnung gegen den politischen Terror erlassen worden war. </w:t>
      </w:r>
      <w:r w:rsidR="00FF1497" w:rsidRPr="000F0710">
        <w:t>Sie</w:t>
      </w:r>
      <w:r w:rsidR="00FC558C" w:rsidRPr="000F0710">
        <w:t xml:space="preserve"> war ein </w:t>
      </w:r>
      <w:r w:rsidR="00D97317" w:rsidRPr="000F0710">
        <w:t>letzt</w:t>
      </w:r>
      <w:r w:rsidR="004049E1" w:rsidRPr="000F0710">
        <w:t>es Instrument</w:t>
      </w:r>
      <w:r w:rsidR="00FC558C" w:rsidRPr="000F0710">
        <w:t xml:space="preserve">, mit dem der Staat </w:t>
      </w:r>
      <w:r w:rsidR="00DA6CC7" w:rsidRPr="000F0710">
        <w:t>eine weitere</w:t>
      </w:r>
      <w:r w:rsidR="00D509F9" w:rsidRPr="000F0710">
        <w:t xml:space="preserve"> Eskalation des politischen Terrors</w:t>
      </w:r>
      <w:r w:rsidR="00DA6CC7" w:rsidRPr="000F0710">
        <w:t xml:space="preserve"> a</w:t>
      </w:r>
      <w:r w:rsidR="00DA6CC7" w:rsidRPr="000F0710">
        <w:t>b</w:t>
      </w:r>
      <w:r w:rsidR="00D509F9" w:rsidRPr="000F0710">
        <w:t>zuwehren</w:t>
      </w:r>
      <w:r w:rsidR="00FC558C" w:rsidRPr="000F0710">
        <w:t xml:space="preserve"> versuchte. </w:t>
      </w:r>
      <w:r w:rsidR="002D5D03" w:rsidRPr="000F0710">
        <w:t>Für</w:t>
      </w:r>
      <w:r w:rsidR="00D509F9" w:rsidRPr="000F0710">
        <w:t xml:space="preserve"> die NSDAP </w:t>
      </w:r>
      <w:r w:rsidR="002D5D03" w:rsidRPr="000F0710">
        <w:t xml:space="preserve">jedoch </w:t>
      </w:r>
      <w:r w:rsidR="00DA6CC7" w:rsidRPr="000F0710">
        <w:t xml:space="preserve">rechtfertigte </w:t>
      </w:r>
      <w:r w:rsidR="002D5D03" w:rsidRPr="000F0710">
        <w:t>d</w:t>
      </w:r>
      <w:r w:rsidR="00B306EC" w:rsidRPr="000F0710">
        <w:t>er Schutz der</w:t>
      </w:r>
      <w:r w:rsidR="002D5D03" w:rsidRPr="000F0710">
        <w:t xml:space="preserve"> Republik kein </w:t>
      </w:r>
      <w:r w:rsidR="004049E1" w:rsidRPr="000F0710">
        <w:t>dera</w:t>
      </w:r>
      <w:r w:rsidR="004049E1" w:rsidRPr="000F0710">
        <w:t>r</w:t>
      </w:r>
      <w:r w:rsidR="004049E1" w:rsidRPr="000F0710">
        <w:t>tiges Gesetz</w:t>
      </w:r>
      <w:r w:rsidR="00D509F9" w:rsidRPr="000F0710">
        <w:t>.</w:t>
      </w:r>
      <w:r w:rsidR="003864EC" w:rsidRPr="000F0710">
        <w:t xml:space="preserve"> </w:t>
      </w:r>
      <w:r w:rsidRPr="000F0710">
        <w:t xml:space="preserve">Im </w:t>
      </w:r>
      <w:r w:rsidRPr="000F0710">
        <w:rPr>
          <w:i/>
        </w:rPr>
        <w:t>Völkischen Beobachter</w:t>
      </w:r>
      <w:r w:rsidRPr="000F0710">
        <w:t xml:space="preserve"> </w:t>
      </w:r>
      <w:r w:rsidR="00FF1497" w:rsidRPr="000F0710">
        <w:t>kommentier</w:t>
      </w:r>
      <w:r w:rsidR="003864EC" w:rsidRPr="000F0710">
        <w:t xml:space="preserve">te </w:t>
      </w:r>
      <w:r w:rsidRPr="000F0710">
        <w:t xml:space="preserve">Alfred Rosenberg </w:t>
      </w:r>
      <w:r w:rsidR="00FF1497" w:rsidRPr="000F0710">
        <w:t>das Urteil mit der</w:t>
      </w:r>
      <w:r w:rsidR="002D5D03" w:rsidRPr="000F0710">
        <w:t xml:space="preserve"> </w:t>
      </w:r>
      <w:r w:rsidR="00B306EC" w:rsidRPr="000F0710">
        <w:t>Feststellung</w:t>
      </w:r>
      <w:r w:rsidRPr="000F0710">
        <w:t>, für den Nationalsozialismus gebe es „kein ‚Recht an sich‘</w:t>
      </w:r>
      <w:r w:rsidR="00FF1497" w:rsidRPr="000F0710">
        <w:t>“;</w:t>
      </w:r>
      <w:r w:rsidRPr="000F0710">
        <w:t xml:space="preserve"> Ziel </w:t>
      </w:r>
      <w:r w:rsidR="00FF1497" w:rsidRPr="000F0710">
        <w:t>des Nationals</w:t>
      </w:r>
      <w:r w:rsidR="00FF1497" w:rsidRPr="000F0710">
        <w:t>o</w:t>
      </w:r>
      <w:r w:rsidR="00FF1497" w:rsidRPr="000F0710">
        <w:t>zialismus sei</w:t>
      </w:r>
      <w:r w:rsidRPr="000F0710">
        <w:t xml:space="preserve"> </w:t>
      </w:r>
      <w:r w:rsidR="00FF1497" w:rsidRPr="000F0710">
        <w:t>vielmehr „</w:t>
      </w:r>
      <w:r w:rsidRPr="000F0710">
        <w:t>der starke deutsche Mensch, sein Bekennt</w:t>
      </w:r>
      <w:r w:rsidR="006F5FE0" w:rsidRPr="000F0710">
        <w:t>n</w:t>
      </w:r>
      <w:r w:rsidRPr="000F0710">
        <w:t>is ist der Schutz dieses Deutschen, und alles Recht und Gesellschaftsleben, Politik und Wirtschaft, hat sich nach di</w:t>
      </w:r>
      <w:r w:rsidRPr="000F0710">
        <w:t>e</w:t>
      </w:r>
      <w:r w:rsidRPr="000F0710">
        <w:t>ser Zwecksetzung einzustellen</w:t>
      </w:r>
      <w:r w:rsidR="00FF1497" w:rsidRPr="000F0710">
        <w:t>.</w:t>
      </w:r>
      <w:r w:rsidRPr="000F0710">
        <w:t>“</w:t>
      </w:r>
      <w:r w:rsidRPr="000F0710">
        <w:rPr>
          <w:rStyle w:val="Funotenzeichen"/>
        </w:rPr>
        <w:footnoteReference w:id="2"/>
      </w:r>
      <w:r w:rsidRPr="000F0710">
        <w:t xml:space="preserve"> </w:t>
      </w:r>
      <w:r w:rsidR="00B306EC" w:rsidRPr="000F0710">
        <w:t>Wer</w:t>
      </w:r>
      <w:r w:rsidR="00FF1497" w:rsidRPr="000F0710">
        <w:t xml:space="preserve"> im Sinne der NSDAP </w:t>
      </w:r>
      <w:r w:rsidR="004049E1" w:rsidRPr="000F0710">
        <w:t xml:space="preserve">dieser </w:t>
      </w:r>
      <w:r w:rsidR="00DA6CC7" w:rsidRPr="000F0710">
        <w:t>„</w:t>
      </w:r>
      <w:r w:rsidR="00FF1497" w:rsidRPr="000F0710">
        <w:t>deutsche</w:t>
      </w:r>
      <w:r w:rsidR="004049E1" w:rsidRPr="000F0710">
        <w:t xml:space="preserve"> Mensch</w:t>
      </w:r>
      <w:r w:rsidR="00DA6CC7" w:rsidRPr="000F0710">
        <w:t>“</w:t>
      </w:r>
      <w:r w:rsidR="00B306EC" w:rsidRPr="000F0710">
        <w:t xml:space="preserve"> war, erläuterte Paragraph 2, Punkt 4 des Parteiprogramms</w:t>
      </w:r>
      <w:r w:rsidR="00FF1497" w:rsidRPr="000F0710">
        <w:t>:</w:t>
      </w:r>
      <w:r w:rsidR="00B306EC" w:rsidRPr="000F0710">
        <w:t xml:space="preserve"> „Staatsbürger kann nur sein, wer Volksgenosse ist, Volksgenosse kann nur sein, wer deutschen Blutes ist, ohne Rücksichtna</w:t>
      </w:r>
      <w:r w:rsidR="00B306EC" w:rsidRPr="000F0710">
        <w:t>h</w:t>
      </w:r>
      <w:r w:rsidR="00B306EC" w:rsidRPr="000F0710">
        <w:t xml:space="preserve">me auf Konfession. Kein Jude kann daher Volksgenosse sein.“ </w:t>
      </w:r>
      <w:r w:rsidR="004049E1" w:rsidRPr="000F0710">
        <w:t xml:space="preserve">Das stand in </w:t>
      </w:r>
      <w:r w:rsidR="00DA6CC7" w:rsidRPr="000F0710">
        <w:t>prägnant</w:t>
      </w:r>
      <w:r w:rsidR="004049E1" w:rsidRPr="000F0710">
        <w:t>em G</w:t>
      </w:r>
      <w:r w:rsidR="004049E1" w:rsidRPr="000F0710">
        <w:t>e</w:t>
      </w:r>
      <w:r w:rsidR="004049E1" w:rsidRPr="000F0710">
        <w:t>gensatz zu Artikel 109 der deutschen Verfassung: „</w:t>
      </w:r>
      <w:r w:rsidR="00C5706A" w:rsidRPr="000F0710">
        <w:t xml:space="preserve">Alle Deutschen sind vor dem Gesetz </w:t>
      </w:r>
      <w:r w:rsidR="00C5706A" w:rsidRPr="000F0710">
        <w:lastRenderedPageBreak/>
        <w:t xml:space="preserve">gleich.“ </w:t>
      </w:r>
      <w:r w:rsidR="00FF1497" w:rsidRPr="000F0710">
        <w:t>– K</w:t>
      </w:r>
      <w:r w:rsidR="003864EC" w:rsidRPr="000F0710">
        <w:t xml:space="preserve">larer </w:t>
      </w:r>
      <w:r w:rsidR="00D509F9" w:rsidRPr="000F0710">
        <w:t xml:space="preserve">war </w:t>
      </w:r>
      <w:r w:rsidR="00B96699" w:rsidRPr="000F0710">
        <w:t xml:space="preserve">kaum </w:t>
      </w:r>
      <w:r w:rsidR="00D509F9" w:rsidRPr="000F0710">
        <w:t xml:space="preserve">zu </w:t>
      </w:r>
      <w:r w:rsidR="003864EC" w:rsidRPr="000F0710">
        <w:t>formulieren</w:t>
      </w:r>
      <w:r w:rsidR="006F5FE0" w:rsidRPr="000F0710">
        <w:t xml:space="preserve">, dass </w:t>
      </w:r>
      <w:r w:rsidR="003864EC" w:rsidRPr="000F0710">
        <w:t xml:space="preserve">für die NSDAP die </w:t>
      </w:r>
      <w:r w:rsidR="006F5FE0" w:rsidRPr="000F0710">
        <w:t>Verfassung und Recht</w:t>
      </w:r>
      <w:r w:rsidR="003864EC" w:rsidRPr="000F0710">
        <w:t xml:space="preserve"> nichts</w:t>
      </w:r>
      <w:r w:rsidR="00D509F9" w:rsidRPr="000F0710">
        <w:t>,</w:t>
      </w:r>
      <w:r w:rsidR="003864EC" w:rsidRPr="000F0710">
        <w:t xml:space="preserve"> </w:t>
      </w:r>
      <w:r w:rsidR="00665EE9" w:rsidRPr="000F0710">
        <w:t>Gewalt</w:t>
      </w:r>
      <w:r w:rsidR="00B96699" w:rsidRPr="000F0710">
        <w:t xml:space="preserve"> </w:t>
      </w:r>
      <w:r w:rsidR="00D509F9" w:rsidRPr="000F0710">
        <w:t xml:space="preserve">jedoch </w:t>
      </w:r>
      <w:r w:rsidR="003864EC" w:rsidRPr="000F0710">
        <w:t>alles</w:t>
      </w:r>
      <w:r w:rsidR="00D509F9" w:rsidRPr="000F0710">
        <w:t xml:space="preserve"> bedeutete</w:t>
      </w:r>
      <w:r w:rsidR="003864EC" w:rsidRPr="000F0710">
        <w:t>.</w:t>
      </w:r>
      <w:r w:rsidR="00E8015E" w:rsidRPr="000F0710">
        <w:t xml:space="preserve"> </w:t>
      </w:r>
    </w:p>
    <w:p w:rsidR="00F623DE" w:rsidRPr="000F0710" w:rsidRDefault="00665EE9" w:rsidP="0033577C">
      <w:pPr>
        <w:pStyle w:val="zitat"/>
        <w:spacing w:before="0" w:beforeAutospacing="0" w:after="0" w:afterAutospacing="0" w:line="276" w:lineRule="auto"/>
        <w:ind w:firstLine="708"/>
        <w:jc w:val="both"/>
      </w:pPr>
      <w:r w:rsidRPr="000F0710">
        <w:t>A</w:t>
      </w:r>
      <w:r w:rsidR="00E8015E" w:rsidRPr="000F0710">
        <w:t xml:space="preserve">ufschlussreich ist </w:t>
      </w:r>
      <w:r w:rsidR="002D5D03" w:rsidRPr="000F0710">
        <w:t xml:space="preserve">auch </w:t>
      </w:r>
      <w:r w:rsidR="00E8015E" w:rsidRPr="000F0710">
        <w:t>die Reaktion Franz von Papen</w:t>
      </w:r>
      <w:r w:rsidR="00B1313F" w:rsidRPr="000F0710">
        <w:t>s</w:t>
      </w:r>
      <w:r w:rsidR="00FF1497" w:rsidRPr="000F0710">
        <w:t xml:space="preserve">, </w:t>
      </w:r>
      <w:r w:rsidR="00653FEF">
        <w:t>d</w:t>
      </w:r>
      <w:r w:rsidR="00FF1497" w:rsidRPr="000F0710">
        <w:t>es amtierenden Reich</w:t>
      </w:r>
      <w:r w:rsidR="00FF1497" w:rsidRPr="000F0710">
        <w:t>s</w:t>
      </w:r>
      <w:r w:rsidR="00FF1497" w:rsidRPr="000F0710">
        <w:t>kommissars in Preußen</w:t>
      </w:r>
      <w:r w:rsidR="00E8015E" w:rsidRPr="000F0710">
        <w:t xml:space="preserve">: </w:t>
      </w:r>
      <w:r w:rsidR="00B1313F" w:rsidRPr="000F0710">
        <w:t xml:space="preserve">Er wich vor </w:t>
      </w:r>
      <w:r w:rsidR="00C5706A" w:rsidRPr="000F0710">
        <w:t xml:space="preserve">der </w:t>
      </w:r>
      <w:r w:rsidR="00B1313F" w:rsidRPr="000F0710">
        <w:t>hier unmissverständlich formulierten Drohung z</w:t>
      </w:r>
      <w:r w:rsidR="00B1313F" w:rsidRPr="000F0710">
        <w:t>u</w:t>
      </w:r>
      <w:r w:rsidR="00B1313F" w:rsidRPr="000F0710">
        <w:t>rück</w:t>
      </w:r>
      <w:r w:rsidR="00FF1497" w:rsidRPr="000F0710">
        <w:t xml:space="preserve"> und</w:t>
      </w:r>
      <w:r w:rsidR="00E8015E" w:rsidRPr="000F0710">
        <w:t xml:space="preserve"> ließ die Todesurteile in lebenslange Freiheitsstrafen umwandeln. Die Justiz, die in diesem Fall sch</w:t>
      </w:r>
      <w:r w:rsidR="00DA6CC7" w:rsidRPr="000F0710">
        <w:t>n</w:t>
      </w:r>
      <w:r w:rsidR="00E8015E" w:rsidRPr="000F0710">
        <w:t xml:space="preserve">ell und </w:t>
      </w:r>
      <w:r w:rsidR="00B1313F" w:rsidRPr="000F0710">
        <w:t>e</w:t>
      </w:r>
      <w:r w:rsidR="00E8015E" w:rsidRPr="000F0710">
        <w:t xml:space="preserve">ntschieden reagiert hatte, wurde </w:t>
      </w:r>
      <w:r w:rsidR="00C5706A" w:rsidRPr="000F0710">
        <w:t xml:space="preserve">damit </w:t>
      </w:r>
      <w:r w:rsidR="00E8015E" w:rsidRPr="000F0710">
        <w:t>desavouiert.</w:t>
      </w:r>
      <w:r w:rsidR="00E8015E" w:rsidRPr="000F0710">
        <w:rPr>
          <w:rStyle w:val="Funotenzeichen"/>
        </w:rPr>
        <w:footnoteReference w:id="3"/>
      </w:r>
      <w:r w:rsidR="003444AB" w:rsidRPr="000F0710">
        <w:t xml:space="preserve"> </w:t>
      </w:r>
      <w:r w:rsidR="00C5706A" w:rsidRPr="000F0710">
        <w:t>E</w:t>
      </w:r>
      <w:r w:rsidR="00FF1497" w:rsidRPr="000F0710">
        <w:t xml:space="preserve">s war </w:t>
      </w:r>
      <w:r w:rsidR="00C5706A" w:rsidRPr="000F0710">
        <w:t>Papens</w:t>
      </w:r>
      <w:r w:rsidR="00FF1497" w:rsidRPr="000F0710">
        <w:t xml:space="preserve"> </w:t>
      </w:r>
      <w:proofErr w:type="spellStart"/>
      <w:r w:rsidR="00FF1497" w:rsidRPr="000F0710">
        <w:t>Entreebillet</w:t>
      </w:r>
      <w:proofErr w:type="spellEnd"/>
      <w:r w:rsidR="00FF1497" w:rsidRPr="000F0710">
        <w:t xml:space="preserve"> in die künftige Regierung Hitler</w:t>
      </w:r>
      <w:r w:rsidR="00E8503A" w:rsidRPr="000F0710">
        <w:t>.</w:t>
      </w:r>
    </w:p>
    <w:p w:rsidR="00823AF1" w:rsidRPr="000F0710" w:rsidRDefault="00823AF1" w:rsidP="0033577C">
      <w:pPr>
        <w:pStyle w:val="zitat"/>
        <w:spacing w:before="0" w:beforeAutospacing="0" w:after="0" w:afterAutospacing="0" w:line="276" w:lineRule="auto"/>
        <w:ind w:firstLine="708"/>
        <w:jc w:val="both"/>
      </w:pPr>
      <w:r w:rsidRPr="000F0710">
        <w:t>In der Schlussphase der Weimarer Republik hatten sich die politischen</w:t>
      </w:r>
      <w:r w:rsidR="00B1313F" w:rsidRPr="000F0710">
        <w:t xml:space="preserve"> Maßstäbe </w:t>
      </w:r>
      <w:r w:rsidR="00C5706A" w:rsidRPr="000F0710">
        <w:t>o</w:t>
      </w:r>
      <w:r w:rsidR="00C5706A" w:rsidRPr="000F0710">
        <w:t>f</w:t>
      </w:r>
      <w:r w:rsidR="00C5706A" w:rsidRPr="000F0710">
        <w:t xml:space="preserve">fenbar </w:t>
      </w:r>
      <w:r w:rsidR="00B1313F" w:rsidRPr="000F0710">
        <w:t xml:space="preserve">grundlegend </w:t>
      </w:r>
      <w:r w:rsidRPr="000F0710">
        <w:t>verändert</w:t>
      </w:r>
      <w:r w:rsidR="00DA6CC7" w:rsidRPr="000F0710">
        <w:t>,</w:t>
      </w:r>
      <w:r w:rsidR="00B1313F" w:rsidRPr="000F0710">
        <w:t xml:space="preserve"> </w:t>
      </w:r>
      <w:r w:rsidR="00DA6CC7" w:rsidRPr="000F0710">
        <w:t>w</w:t>
      </w:r>
      <w:r w:rsidR="00C5706A" w:rsidRPr="000F0710">
        <w:t xml:space="preserve">ie sehr, zeigt ein scheinbar banaler Vorgang. </w:t>
      </w:r>
      <w:r w:rsidRPr="000F0710">
        <w:t xml:space="preserve">1932 wurde in Freiburg eine Veranstaltung der NSDAP mit Manfred von Killinger als Redner auf Plakaten </w:t>
      </w:r>
      <w:r w:rsidR="00C5706A" w:rsidRPr="000F0710">
        <w:t>mit</w:t>
      </w:r>
      <w:r w:rsidRPr="000F0710">
        <w:t xml:space="preserve"> folgende</w:t>
      </w:r>
      <w:r w:rsidR="00C5706A" w:rsidRPr="000F0710">
        <w:t>n</w:t>
      </w:r>
      <w:r w:rsidRPr="000F0710">
        <w:t xml:space="preserve"> W</w:t>
      </w:r>
      <w:r w:rsidR="00C5706A" w:rsidRPr="000F0710">
        <w:t>orten</w:t>
      </w:r>
      <w:r w:rsidRPr="000F0710">
        <w:t xml:space="preserve"> angekündigt: „Heute spricht der Fememörder und Reichstagsabgeor</w:t>
      </w:r>
      <w:r w:rsidRPr="000F0710">
        <w:t>d</w:t>
      </w:r>
      <w:r w:rsidRPr="000F0710">
        <w:t>nete Manfred von Killinger!“ Killinger war am Mord an Matthias Erzberger beteiligt gew</w:t>
      </w:r>
      <w:r w:rsidRPr="000F0710">
        <w:t>e</w:t>
      </w:r>
      <w:r w:rsidRPr="000F0710">
        <w:t>sen.</w:t>
      </w:r>
      <w:r w:rsidR="00C5706A" w:rsidRPr="000F0710">
        <w:t xml:space="preserve"> K</w:t>
      </w:r>
      <w:r w:rsidRPr="000F0710">
        <w:t xml:space="preserve">äthe </w:t>
      </w:r>
      <w:proofErr w:type="spellStart"/>
      <w:r w:rsidRPr="000F0710">
        <w:t>Vordtriede</w:t>
      </w:r>
      <w:proofErr w:type="spellEnd"/>
      <w:r w:rsidRPr="000F0710">
        <w:t xml:space="preserve">, die in ihren Anfang 1940 verfassten Erinnerungen </w:t>
      </w:r>
      <w:r w:rsidRPr="000F0710">
        <w:rPr>
          <w:i/>
        </w:rPr>
        <w:t>Mein Leben in Deutschland vor und nach 1933</w:t>
      </w:r>
      <w:r w:rsidRPr="000F0710">
        <w:t xml:space="preserve"> </w:t>
      </w:r>
      <w:r w:rsidR="00C5706A" w:rsidRPr="000F0710">
        <w:t>von</w:t>
      </w:r>
      <w:r w:rsidRPr="000F0710">
        <w:t xml:space="preserve"> diese</w:t>
      </w:r>
      <w:r w:rsidR="00C5706A" w:rsidRPr="000F0710">
        <w:t>m</w:t>
      </w:r>
      <w:r w:rsidRPr="000F0710">
        <w:t xml:space="preserve"> Vorkommnis berichtet, </w:t>
      </w:r>
      <w:r w:rsidR="00C5706A" w:rsidRPr="000F0710">
        <w:t>reagierte</w:t>
      </w:r>
      <w:r w:rsidRPr="000F0710">
        <w:t xml:space="preserve"> fassungslos: „Fememörder war ein Ehrentitel“.</w:t>
      </w:r>
      <w:r w:rsidRPr="000F0710">
        <w:rPr>
          <w:rStyle w:val="Funotenzeichen"/>
        </w:rPr>
        <w:footnoteReference w:id="4"/>
      </w:r>
      <w:r w:rsidRPr="000F0710">
        <w:t xml:space="preserve"> </w:t>
      </w:r>
      <w:r w:rsidR="00DA6CC7" w:rsidRPr="000F0710">
        <w:t xml:space="preserve">Dass noch erschreckender war, dass </w:t>
      </w:r>
      <w:r w:rsidR="00450031" w:rsidRPr="000F0710">
        <w:t xml:space="preserve">in dieser Phase der Republik </w:t>
      </w:r>
      <w:r w:rsidR="00DA6CC7" w:rsidRPr="000F0710">
        <w:t xml:space="preserve">ein Fememörder </w:t>
      </w:r>
      <w:r w:rsidR="00450031" w:rsidRPr="000F0710">
        <w:t>Reichstagsabgeordneter werden konnte, entging ihr augenschei</w:t>
      </w:r>
      <w:r w:rsidR="00450031" w:rsidRPr="000F0710">
        <w:t>n</w:t>
      </w:r>
      <w:r w:rsidR="00450031" w:rsidRPr="000F0710">
        <w:t>lich.</w:t>
      </w:r>
    </w:p>
    <w:p w:rsidR="00823AF1" w:rsidRPr="000F0710" w:rsidRDefault="00823AF1" w:rsidP="0033577C">
      <w:pPr>
        <w:pStyle w:val="zitat"/>
        <w:spacing w:before="0" w:beforeAutospacing="0" w:after="0" w:afterAutospacing="0" w:line="276" w:lineRule="auto"/>
        <w:ind w:firstLine="708"/>
        <w:jc w:val="both"/>
      </w:pPr>
    </w:p>
    <w:p w:rsidR="00977BA8" w:rsidRPr="000F0710" w:rsidRDefault="00FA7113" w:rsidP="0033577C">
      <w:pPr>
        <w:pStyle w:val="zitat"/>
        <w:spacing w:before="0" w:beforeAutospacing="0" w:after="0" w:afterAutospacing="0" w:line="276" w:lineRule="auto"/>
        <w:ind w:firstLine="708"/>
        <w:jc w:val="both"/>
      </w:pPr>
      <w:r w:rsidRPr="000F0710">
        <w:t>Die Geschichtswissenschaft ist übereinstimmend der Meinung, dass ein entscheide</w:t>
      </w:r>
      <w:r w:rsidRPr="000F0710">
        <w:t>n</w:t>
      </w:r>
      <w:r w:rsidRPr="000F0710">
        <w:t>der Grund für das Scheitern der Weimarer Republik die Obstruktion der staatstragenden El</w:t>
      </w:r>
      <w:r w:rsidRPr="000F0710">
        <w:t>i</w:t>
      </w:r>
      <w:r w:rsidRPr="000F0710">
        <w:t>ten</w:t>
      </w:r>
      <w:r w:rsidR="00823AF1" w:rsidRPr="000F0710">
        <w:t xml:space="preserve"> </w:t>
      </w:r>
      <w:r w:rsidR="00C5706A" w:rsidRPr="000F0710">
        <w:t>war</w:t>
      </w:r>
      <w:r w:rsidRPr="000F0710">
        <w:t xml:space="preserve">, insbesondere der Justiz. </w:t>
      </w:r>
      <w:r w:rsidR="00823AF1" w:rsidRPr="000F0710">
        <w:t xml:space="preserve">Die Justiz behandelte die Gegner </w:t>
      </w:r>
      <w:r w:rsidR="00450031" w:rsidRPr="000F0710">
        <w:t>der Republik sehr unte</w:t>
      </w:r>
      <w:r w:rsidR="00450031" w:rsidRPr="000F0710">
        <w:t>r</w:t>
      </w:r>
      <w:r w:rsidR="00450031" w:rsidRPr="000F0710">
        <w:t>schiedlich</w:t>
      </w:r>
      <w:r w:rsidR="00823AF1" w:rsidRPr="000F0710">
        <w:t>:</w:t>
      </w:r>
      <w:r w:rsidR="00977BA8" w:rsidRPr="000F0710">
        <w:t xml:space="preserve"> </w:t>
      </w:r>
      <w:r w:rsidRPr="000F0710">
        <w:t xml:space="preserve">Während </w:t>
      </w:r>
      <w:r w:rsidR="00C5706A" w:rsidRPr="000F0710">
        <w:t xml:space="preserve">ein Kommunist </w:t>
      </w:r>
      <w:r w:rsidRPr="000F0710">
        <w:t>für die Verunglimpfung der Republik als „Räuberrepu</w:t>
      </w:r>
      <w:r w:rsidRPr="000F0710">
        <w:t>b</w:t>
      </w:r>
      <w:r w:rsidRPr="000F0710">
        <w:t>lik</w:t>
      </w:r>
      <w:r w:rsidR="00C5706A" w:rsidRPr="000F0710">
        <w:t>“</w:t>
      </w:r>
      <w:r w:rsidR="00823AF1" w:rsidRPr="000F0710">
        <w:t xml:space="preserve"> </w:t>
      </w:r>
      <w:r w:rsidRPr="000F0710">
        <w:t>zu vier Wochen Gefängnis verurteilt wurde, wurde die Beschimpfung „Judenrepublik“</w:t>
      </w:r>
      <w:r w:rsidR="00D46663" w:rsidRPr="000F0710">
        <w:t xml:space="preserve"> mit einer Geldstrafe von 70 Mark geahndet.</w:t>
      </w:r>
      <w:r w:rsidR="00D46663" w:rsidRPr="000F0710">
        <w:rPr>
          <w:rStyle w:val="Funotenzeichen"/>
        </w:rPr>
        <w:footnoteReference w:id="5"/>
      </w:r>
      <w:r w:rsidR="00977BA8" w:rsidRPr="000F0710">
        <w:t xml:space="preserve"> </w:t>
      </w:r>
      <w:r w:rsidR="00450031" w:rsidRPr="000F0710">
        <w:t>Das Beispiel zeigt jedoch auch, dass die Repu</w:t>
      </w:r>
      <w:r w:rsidR="00450031" w:rsidRPr="000F0710">
        <w:t>b</w:t>
      </w:r>
      <w:r w:rsidR="00450031" w:rsidRPr="000F0710">
        <w:t>lik Gegner nicht nur auf Seiten des rechten bzw. nationalistischen Lagers hatte, sondern auch auf Seiten des linken. Beide Gruppen standen in einem Wettstreit, die Republik verächtlich zu machen.</w:t>
      </w:r>
    </w:p>
    <w:p w:rsidR="00E8015E" w:rsidRPr="000F0710" w:rsidRDefault="00977BA8" w:rsidP="0033577C">
      <w:pPr>
        <w:pStyle w:val="zitat"/>
        <w:spacing w:before="0" w:beforeAutospacing="0" w:after="0" w:afterAutospacing="0" w:line="276" w:lineRule="auto"/>
        <w:ind w:firstLine="708"/>
        <w:jc w:val="both"/>
      </w:pPr>
      <w:r w:rsidRPr="000F0710">
        <w:t>Die Republik war schwach</w:t>
      </w:r>
      <w:r w:rsidR="000A3D02" w:rsidRPr="000F0710">
        <w:t>.</w:t>
      </w:r>
      <w:r w:rsidRPr="000F0710">
        <w:t xml:space="preserve"> </w:t>
      </w:r>
      <w:r w:rsidR="000A3D02" w:rsidRPr="000F0710">
        <w:t>S</w:t>
      </w:r>
      <w:r w:rsidRPr="000F0710">
        <w:t>ie musste die Erblast des verlorenen Krieges</w:t>
      </w:r>
      <w:r w:rsidR="000A3D02" w:rsidRPr="000F0710">
        <w:t xml:space="preserve"> und der a</w:t>
      </w:r>
      <w:r w:rsidR="000A3D02" w:rsidRPr="000F0710">
        <w:t>n</w:t>
      </w:r>
      <w:r w:rsidR="000A3D02" w:rsidRPr="000F0710">
        <w:t>schließenden revolutionären Unruhen</w:t>
      </w:r>
      <w:r w:rsidRPr="000F0710">
        <w:t xml:space="preserve"> tragen, dazu die Folgen der Inflation und der Weltwir</w:t>
      </w:r>
      <w:r w:rsidRPr="000F0710">
        <w:t>t</w:t>
      </w:r>
      <w:r w:rsidRPr="000F0710">
        <w:t>schaftskrise</w:t>
      </w:r>
      <w:r w:rsidR="00450031" w:rsidRPr="000F0710">
        <w:t>, hier insbesondere die aus der Krise resultierende Massenarbeitslosigkeit</w:t>
      </w:r>
      <w:r w:rsidRPr="000F0710">
        <w:t xml:space="preserve">. Die Neuordnung des Staates nach dem </w:t>
      </w:r>
      <w:r w:rsidR="005F28D9" w:rsidRPr="000F0710">
        <w:t xml:space="preserve">Zusammenbruch der Monarchie </w:t>
      </w:r>
      <w:r w:rsidRPr="000F0710">
        <w:t>hatte Kompromisschara</w:t>
      </w:r>
      <w:r w:rsidRPr="000F0710">
        <w:t>k</w:t>
      </w:r>
      <w:r w:rsidRPr="000F0710">
        <w:t xml:space="preserve">ter. </w:t>
      </w:r>
      <w:r w:rsidR="00E64D23" w:rsidRPr="000F0710">
        <w:t>Dieser Kompromiss befriedigte weder das traditionelle Bürgertum, noch die Arbeite</w:t>
      </w:r>
      <w:r w:rsidR="00E64D23" w:rsidRPr="000F0710">
        <w:t>r</w:t>
      </w:r>
      <w:r w:rsidR="00E64D23" w:rsidRPr="000F0710">
        <w:t xml:space="preserve">schaft, noch die Generation der jungen Akademiker. </w:t>
      </w:r>
      <w:r w:rsidR="00450031" w:rsidRPr="000F0710">
        <w:t>Erst jetzt, m</w:t>
      </w:r>
      <w:r w:rsidR="00BA0F66" w:rsidRPr="000F0710">
        <w:t>it der zunehmenden Gel</w:t>
      </w:r>
      <w:r w:rsidR="00BA0F66" w:rsidRPr="000F0710">
        <w:t>d</w:t>
      </w:r>
      <w:r w:rsidR="00BA0F66" w:rsidRPr="000F0710">
        <w:t>entwertung</w:t>
      </w:r>
      <w:r w:rsidR="00DA3DA5" w:rsidRPr="000F0710">
        <w:t>,</w:t>
      </w:r>
      <w:r w:rsidR="00BA0F66" w:rsidRPr="000F0710">
        <w:t xml:space="preserve"> </w:t>
      </w:r>
      <w:r w:rsidR="00E64D23" w:rsidRPr="000F0710">
        <w:t>wurden die Lasten des Krieges erkennbar. Sie gipfelte</w:t>
      </w:r>
      <w:r w:rsidR="000A3D02" w:rsidRPr="000F0710">
        <w:t>n</w:t>
      </w:r>
      <w:r w:rsidR="00E64D23" w:rsidRPr="000F0710">
        <w:t xml:space="preserve"> in der Hyperinflation des Jahres 1922 und </w:t>
      </w:r>
      <w:r w:rsidR="00DA3DA5" w:rsidRPr="000F0710">
        <w:t>endeten im</w:t>
      </w:r>
      <w:r w:rsidR="00B25F22" w:rsidRPr="000F0710">
        <w:t xml:space="preserve"> </w:t>
      </w:r>
      <w:r w:rsidR="00E64D23" w:rsidRPr="000F0710">
        <w:t xml:space="preserve">Kollaps der Währung. </w:t>
      </w:r>
      <w:r w:rsidR="00DA3DA5" w:rsidRPr="000F0710">
        <w:t>Als</w:t>
      </w:r>
      <w:r w:rsidR="000A3D02" w:rsidRPr="000F0710">
        <w:t xml:space="preserve"> Folge eskalierten die politischen und soz</w:t>
      </w:r>
      <w:r w:rsidR="00E64D23" w:rsidRPr="000F0710">
        <w:t xml:space="preserve">ialen </w:t>
      </w:r>
      <w:r w:rsidR="000A3D02" w:rsidRPr="000F0710">
        <w:t>Konflikte</w:t>
      </w:r>
      <w:r w:rsidR="00BA0F66" w:rsidRPr="000F0710">
        <w:t>.</w:t>
      </w:r>
      <w:r w:rsidR="00E64D23" w:rsidRPr="000F0710">
        <w:t xml:space="preserve"> Zu den Gewinnern </w:t>
      </w:r>
      <w:r w:rsidR="00BA0F66" w:rsidRPr="000F0710">
        <w:t xml:space="preserve">der wirtschaftlichen Entwicklung </w:t>
      </w:r>
      <w:r w:rsidR="00E64D23" w:rsidRPr="000F0710">
        <w:t>zählten die Unte</w:t>
      </w:r>
      <w:r w:rsidR="00E64D23" w:rsidRPr="000F0710">
        <w:t>r</w:t>
      </w:r>
      <w:r w:rsidR="00E64D23" w:rsidRPr="000F0710">
        <w:t>nehmer</w:t>
      </w:r>
      <w:r w:rsidR="00BA0F66" w:rsidRPr="000F0710">
        <w:t>.</w:t>
      </w:r>
      <w:r w:rsidR="00E64D23" w:rsidRPr="000F0710">
        <w:t xml:space="preserve"> </w:t>
      </w:r>
      <w:r w:rsidR="00BA0F66" w:rsidRPr="000F0710">
        <w:t>S</w:t>
      </w:r>
      <w:r w:rsidR="00E64D23" w:rsidRPr="000F0710">
        <w:t xml:space="preserve">ie erhielten </w:t>
      </w:r>
      <w:r w:rsidR="00A335C4" w:rsidRPr="000F0710">
        <w:t xml:space="preserve">in der Krise </w:t>
      </w:r>
      <w:r w:rsidR="000630E5" w:rsidRPr="000F0710">
        <w:t>günstig</w:t>
      </w:r>
      <w:r w:rsidR="00E64D23" w:rsidRPr="000F0710">
        <w:t xml:space="preserve">e Kredite, konnten größere Investitionen tätigen und </w:t>
      </w:r>
      <w:r w:rsidR="000630E5" w:rsidRPr="000F0710">
        <w:t xml:space="preserve">die </w:t>
      </w:r>
      <w:r w:rsidR="00E64D23" w:rsidRPr="000F0710">
        <w:t>Konzernbildungen vorantreiben.</w:t>
      </w:r>
      <w:r w:rsidR="00E64D23" w:rsidRPr="000F0710">
        <w:rPr>
          <w:rStyle w:val="Funotenzeichen"/>
        </w:rPr>
        <w:footnoteReference w:id="6"/>
      </w:r>
      <w:r w:rsidR="00A335C4" w:rsidRPr="000F0710">
        <w:t xml:space="preserve"> Zu den Verlierern gehörte </w:t>
      </w:r>
      <w:r w:rsidR="00DA3DA5" w:rsidRPr="000F0710">
        <w:t xml:space="preserve">vor allem die Arbeiterschaft, die von den Anpassungsschwierigkeiten der Wirtschaft unmittelbar betroffen war und die </w:t>
      </w:r>
      <w:r w:rsidR="00DA3DA5" w:rsidRPr="000F0710">
        <w:lastRenderedPageBreak/>
        <w:t xml:space="preserve">krisenbedingten Entlassungen zu tragen hatte, weiter </w:t>
      </w:r>
      <w:r w:rsidR="00A335C4" w:rsidRPr="000F0710">
        <w:t>die</w:t>
      </w:r>
      <w:r w:rsidR="00B25F22" w:rsidRPr="000F0710">
        <w:t>jenigen</w:t>
      </w:r>
      <w:r w:rsidR="00A335C4" w:rsidRPr="000F0710">
        <w:t xml:space="preserve"> </w:t>
      </w:r>
      <w:r w:rsidR="00B25F22" w:rsidRPr="000F0710">
        <w:t>Gruppen</w:t>
      </w:r>
      <w:r w:rsidR="00A335C4" w:rsidRPr="000F0710">
        <w:t xml:space="preserve"> des Bürgertums, die bis</w:t>
      </w:r>
      <w:r w:rsidR="00DA3DA5" w:rsidRPr="000F0710">
        <w:t>lang</w:t>
      </w:r>
      <w:r w:rsidR="00A335C4" w:rsidRPr="000F0710">
        <w:t xml:space="preserve"> von den Zinsen ihres langfristig angelegten Geldvermögens gelebt hatten</w:t>
      </w:r>
      <w:r w:rsidR="00DA3DA5" w:rsidRPr="000F0710">
        <w:t xml:space="preserve">, und ebenso </w:t>
      </w:r>
      <w:r w:rsidR="00A335C4" w:rsidRPr="000F0710">
        <w:t>die gehalts- bzw. versorgungsabhängige</w:t>
      </w:r>
      <w:r w:rsidR="000A3D02" w:rsidRPr="000F0710">
        <w:t>n</w:t>
      </w:r>
      <w:r w:rsidR="00A335C4" w:rsidRPr="000F0710">
        <w:t xml:space="preserve"> </w:t>
      </w:r>
      <w:r w:rsidR="00DA3DA5" w:rsidRPr="000F0710">
        <w:t>S</w:t>
      </w:r>
      <w:r w:rsidR="00A335C4" w:rsidRPr="000F0710">
        <w:t>chicht</w:t>
      </w:r>
      <w:r w:rsidR="000A3D02" w:rsidRPr="000F0710">
        <w:t>en</w:t>
      </w:r>
      <w:r w:rsidR="00A335C4" w:rsidRPr="000F0710">
        <w:t xml:space="preserve"> der Angestellten, Beamten</w:t>
      </w:r>
      <w:r w:rsidR="00BA0F66" w:rsidRPr="000F0710">
        <w:t xml:space="preserve"> und</w:t>
      </w:r>
      <w:r w:rsidR="00A335C4" w:rsidRPr="000F0710">
        <w:t xml:space="preserve"> der Ren</w:t>
      </w:r>
      <w:r w:rsidR="00A335C4" w:rsidRPr="000F0710">
        <w:t>t</w:t>
      </w:r>
      <w:r w:rsidR="00A335C4" w:rsidRPr="000F0710">
        <w:t>ner.</w:t>
      </w:r>
      <w:r w:rsidR="000630E5" w:rsidRPr="000F0710">
        <w:t xml:space="preserve"> </w:t>
      </w:r>
      <w:r w:rsidR="000A3D02" w:rsidRPr="000F0710">
        <w:t>D</w:t>
      </w:r>
      <w:r w:rsidR="00F623DE" w:rsidRPr="000F0710">
        <w:t xml:space="preserve">ie </w:t>
      </w:r>
      <w:r w:rsidR="00BA0F66" w:rsidRPr="000F0710">
        <w:t xml:space="preserve">Legitimation der </w:t>
      </w:r>
      <w:r w:rsidR="00F623DE" w:rsidRPr="000F0710">
        <w:t xml:space="preserve">Republik </w:t>
      </w:r>
      <w:r w:rsidR="000A3D02" w:rsidRPr="000F0710">
        <w:t xml:space="preserve">wurde </w:t>
      </w:r>
      <w:r w:rsidR="00F623DE" w:rsidRPr="000F0710">
        <w:t xml:space="preserve">zunehmend und von immer </w:t>
      </w:r>
      <w:r w:rsidR="00BA0F66" w:rsidRPr="000F0710">
        <w:t>w</w:t>
      </w:r>
      <w:r w:rsidR="00F623DE" w:rsidRPr="000F0710">
        <w:t>eiteren Kreisen in Zweifel gezogen.</w:t>
      </w:r>
    </w:p>
    <w:p w:rsidR="00B25F22" w:rsidRPr="000F0710" w:rsidRDefault="00B25F22" w:rsidP="0033577C">
      <w:pPr>
        <w:pStyle w:val="zitat"/>
        <w:spacing w:before="0" w:beforeAutospacing="0" w:after="0" w:afterAutospacing="0" w:line="276" w:lineRule="auto"/>
        <w:ind w:firstLine="708"/>
        <w:jc w:val="both"/>
      </w:pPr>
    </w:p>
    <w:p w:rsidR="00B25F22" w:rsidRPr="000F0710" w:rsidRDefault="001725DA" w:rsidP="0033577C">
      <w:pPr>
        <w:pStyle w:val="zitat"/>
        <w:spacing w:before="0" w:beforeAutospacing="0" w:after="0" w:afterAutospacing="0" w:line="276" w:lineRule="auto"/>
        <w:ind w:firstLine="708"/>
        <w:jc w:val="both"/>
      </w:pPr>
      <w:r w:rsidRPr="000F0710">
        <w:t>Unmittelbar nach seiner Ernennung zum Reichskanzler erwirkte Hitler vom Reich</w:t>
      </w:r>
      <w:r w:rsidRPr="000F0710">
        <w:t>s</w:t>
      </w:r>
      <w:r w:rsidRPr="000F0710">
        <w:t>präsidenten die Auflösung des Reichstages.</w:t>
      </w:r>
      <w:r w:rsidRPr="000F0710">
        <w:rPr>
          <w:rStyle w:val="Funotenzeichen"/>
        </w:rPr>
        <w:footnoteReference w:id="7"/>
      </w:r>
      <w:r w:rsidRPr="000F0710">
        <w:t xml:space="preserve"> Der nun anstehende Wahlkampf ermöglichte es Hitler, das Gewaltpotential der SA und der SS </w:t>
      </w:r>
      <w:r w:rsidR="00DA3DA5" w:rsidRPr="000F0710">
        <w:t xml:space="preserve">gezielt gegen KPD und SPD </w:t>
      </w:r>
      <w:r w:rsidRPr="000F0710">
        <w:t>einzusetzen</w:t>
      </w:r>
      <w:r w:rsidR="00DA3DA5" w:rsidRPr="000F0710">
        <w:t>, die unter dem Schlagwort „Marxismus“</w:t>
      </w:r>
      <w:r w:rsidRPr="000F0710">
        <w:t xml:space="preserve"> gemeinsam bekämpft</w:t>
      </w:r>
      <w:r w:rsidR="00DA3DA5" w:rsidRPr="000F0710">
        <w:t xml:space="preserve"> wurden</w:t>
      </w:r>
      <w:r w:rsidRPr="000F0710">
        <w:t xml:space="preserve">. </w:t>
      </w:r>
    </w:p>
    <w:p w:rsidR="00B25F22" w:rsidRPr="000F0710" w:rsidRDefault="00FA1610" w:rsidP="0033577C">
      <w:pPr>
        <w:pStyle w:val="zitat"/>
        <w:spacing w:before="0" w:beforeAutospacing="0" w:after="0" w:afterAutospacing="0" w:line="276" w:lineRule="auto"/>
        <w:ind w:firstLine="708"/>
        <w:jc w:val="both"/>
      </w:pPr>
      <w:r w:rsidRPr="000F0710">
        <w:t xml:space="preserve">Den rechtlichen Rahmen für die massive Benachteiligung </w:t>
      </w:r>
      <w:r w:rsidR="00B25F22" w:rsidRPr="000F0710">
        <w:t>d</w:t>
      </w:r>
      <w:r w:rsidRPr="000F0710">
        <w:t xml:space="preserve">er politischen </w:t>
      </w:r>
      <w:r w:rsidR="008F15FB" w:rsidRPr="000F0710">
        <w:t>Oppo</w:t>
      </w:r>
      <w:r w:rsidR="00B25F22" w:rsidRPr="000F0710">
        <w:t>sition</w:t>
      </w:r>
      <w:r w:rsidRPr="000F0710">
        <w:t xml:space="preserve"> bildete die „Verordnung des Reichspräsidenten zum Schutze des deutschen Volkes“ vom 4. Februar 1933. Auf </w:t>
      </w:r>
      <w:r w:rsidR="00B25F22" w:rsidRPr="000F0710">
        <w:t>ihrer</w:t>
      </w:r>
      <w:r w:rsidRPr="000F0710">
        <w:t xml:space="preserve"> Basis konnte </w:t>
      </w:r>
      <w:r w:rsidR="00B25F22" w:rsidRPr="000F0710">
        <w:t xml:space="preserve">auf administrativem Wege </w:t>
      </w:r>
      <w:r w:rsidRPr="000F0710">
        <w:t xml:space="preserve">gegen öffentliche politische Versammlungen vorgegangen werden, sofern sie eine „unmittelbare Gefahr für die öffentliche Sicherheit“ darstellten. </w:t>
      </w:r>
      <w:r w:rsidR="00B25F22" w:rsidRPr="000F0710">
        <w:t>Ferner</w:t>
      </w:r>
      <w:r w:rsidRPr="000F0710">
        <w:t xml:space="preserve"> konnte</w:t>
      </w:r>
      <w:r w:rsidR="008F15FB" w:rsidRPr="000F0710">
        <w:t>n</w:t>
      </w:r>
      <w:r w:rsidRPr="000F0710">
        <w:t xml:space="preserve"> Druckschriften und Zeitungen </w:t>
      </w:r>
      <w:r w:rsidR="008F15FB" w:rsidRPr="000F0710">
        <w:t>verbot</w:t>
      </w:r>
      <w:r w:rsidRPr="000F0710">
        <w:t>en</w:t>
      </w:r>
      <w:r w:rsidR="00B25F22" w:rsidRPr="000F0710">
        <w:t xml:space="preserve"> und v</w:t>
      </w:r>
      <w:r w:rsidR="000C67A5" w:rsidRPr="000F0710">
        <w:t>erdächt</w:t>
      </w:r>
      <w:r w:rsidR="000C67A5" w:rsidRPr="000F0710">
        <w:t>i</w:t>
      </w:r>
      <w:r w:rsidR="000C67A5" w:rsidRPr="000F0710">
        <w:t>ge Personen in „Schutzhaft“ genommen</w:t>
      </w:r>
      <w:r w:rsidR="00B25F22" w:rsidRPr="000F0710">
        <w:t xml:space="preserve"> werden</w:t>
      </w:r>
      <w:r w:rsidR="000C67A5" w:rsidRPr="000F0710">
        <w:t xml:space="preserve">. </w:t>
      </w:r>
    </w:p>
    <w:p w:rsidR="00425E3B" w:rsidRPr="000F0710" w:rsidRDefault="000C67A5" w:rsidP="0033577C">
      <w:pPr>
        <w:pStyle w:val="zitat"/>
        <w:spacing w:before="0" w:beforeAutospacing="0" w:after="0" w:afterAutospacing="0" w:line="276" w:lineRule="auto"/>
        <w:ind w:firstLine="708"/>
        <w:jc w:val="both"/>
      </w:pPr>
      <w:r w:rsidRPr="000F0710">
        <w:t>M</w:t>
      </w:r>
      <w:r w:rsidR="00FA1610" w:rsidRPr="000F0710">
        <w:t>it d</w:t>
      </w:r>
      <w:r w:rsidR="00B25F22" w:rsidRPr="000F0710">
        <w:t>ies</w:t>
      </w:r>
      <w:r w:rsidR="00FA1610" w:rsidRPr="000F0710">
        <w:t xml:space="preserve">er Notverordnung </w:t>
      </w:r>
      <w:r w:rsidR="008F15FB" w:rsidRPr="000F0710">
        <w:t xml:space="preserve">wurden </w:t>
      </w:r>
      <w:r w:rsidR="00FA1610" w:rsidRPr="000F0710">
        <w:t>dem Reichskommissar für das Preußische Minist</w:t>
      </w:r>
      <w:r w:rsidR="00FA1610" w:rsidRPr="000F0710">
        <w:t>e</w:t>
      </w:r>
      <w:r w:rsidR="00FA1610" w:rsidRPr="000F0710">
        <w:t xml:space="preserve">rium des Inneren </w:t>
      </w:r>
      <w:r w:rsidR="00090F55" w:rsidRPr="000F0710">
        <w:t xml:space="preserve">Hermann Göring </w:t>
      </w:r>
      <w:r w:rsidR="008F15FB" w:rsidRPr="000F0710">
        <w:t>Handlungsmöglichkeiten zugespielt, von denen er d</w:t>
      </w:r>
      <w:r w:rsidR="00FA1610" w:rsidRPr="000F0710">
        <w:t xml:space="preserve">urch Erlasse vom 11. </w:t>
      </w:r>
      <w:r w:rsidR="008F15FB" w:rsidRPr="000F0710">
        <w:t>u</w:t>
      </w:r>
      <w:r w:rsidR="00FA1610" w:rsidRPr="000F0710">
        <w:t xml:space="preserve">nd 22. Februar 1933 </w:t>
      </w:r>
      <w:r w:rsidR="008F15FB" w:rsidRPr="000F0710">
        <w:t>auch Gebrauch machte:</w:t>
      </w:r>
      <w:r w:rsidR="00FA1610" w:rsidRPr="000F0710">
        <w:t xml:space="preserve"> </w:t>
      </w:r>
      <w:r w:rsidR="00033A48" w:rsidRPr="000F0710">
        <w:t xml:space="preserve">Göring erklärte die </w:t>
      </w:r>
      <w:r w:rsidR="00FA1610" w:rsidRPr="000F0710">
        <w:t>SA und SS zu</w:t>
      </w:r>
      <w:r w:rsidR="008F15FB" w:rsidRPr="000F0710">
        <w:t>r</w:t>
      </w:r>
      <w:r w:rsidR="00FA1610" w:rsidRPr="000F0710">
        <w:t xml:space="preserve"> Hilfspoliz</w:t>
      </w:r>
      <w:r w:rsidR="008F15FB" w:rsidRPr="000F0710">
        <w:t>e</w:t>
      </w:r>
      <w:r w:rsidR="00FA1610" w:rsidRPr="000F0710">
        <w:t>i</w:t>
      </w:r>
      <w:r w:rsidR="00090F55" w:rsidRPr="000F0710">
        <w:t xml:space="preserve">. </w:t>
      </w:r>
      <w:r w:rsidR="00033A48" w:rsidRPr="000F0710">
        <w:t>Damit</w:t>
      </w:r>
      <w:r w:rsidR="00090F55" w:rsidRPr="000F0710">
        <w:t xml:space="preserve"> waren </w:t>
      </w:r>
      <w:r w:rsidR="00033A48" w:rsidRPr="000F0710">
        <w:t>diese Formationen – berüchtigte Schlägertrupps im Rahmen des verdeckten Bürgerkriegs</w:t>
      </w:r>
      <w:r w:rsidR="00A07823">
        <w:t>, der die Endphase der Weimarer Republik bestimmt hatte</w:t>
      </w:r>
      <w:r w:rsidR="00033A48" w:rsidRPr="000F0710">
        <w:t xml:space="preserve"> – nunmehr </w:t>
      </w:r>
      <w:r w:rsidR="008F15FB" w:rsidRPr="000F0710">
        <w:t xml:space="preserve">Repräsentanten legaler staatlicher Macht. </w:t>
      </w:r>
      <w:r w:rsidR="00090F55" w:rsidRPr="000F0710">
        <w:t>Parallel dazu</w:t>
      </w:r>
      <w:r w:rsidR="004A7130" w:rsidRPr="000F0710">
        <w:t xml:space="preserve"> wurde </w:t>
      </w:r>
      <w:r w:rsidR="00425E3B" w:rsidRPr="000F0710">
        <w:t xml:space="preserve">bei der preußischen Polizei </w:t>
      </w:r>
      <w:r w:rsidR="004A7130" w:rsidRPr="000F0710">
        <w:t xml:space="preserve">eine personelle Säuberung </w:t>
      </w:r>
      <w:r w:rsidR="00425E3B" w:rsidRPr="000F0710">
        <w:t>von verfassungsloyalen Mitgliedern</w:t>
      </w:r>
      <w:r w:rsidR="004A7130" w:rsidRPr="000F0710">
        <w:t xml:space="preserve"> eingeleitet. </w:t>
      </w:r>
      <w:r w:rsidR="00425E3B" w:rsidRPr="000F0710">
        <w:t>Zu gleicher Zeit</w:t>
      </w:r>
      <w:r w:rsidR="004A7130" w:rsidRPr="000F0710">
        <w:t xml:space="preserve"> wurden</w:t>
      </w:r>
      <w:r w:rsidR="00425E3B" w:rsidRPr="000F0710">
        <w:t xml:space="preserve"> auf verdecktem Wege</w:t>
      </w:r>
      <w:r w:rsidR="004A7130" w:rsidRPr="000F0710">
        <w:t xml:space="preserve"> Verhaftungslisten vorbereitet, um </w:t>
      </w:r>
      <w:r w:rsidR="00425E3B" w:rsidRPr="000F0710">
        <w:t>bei gegebenem Anlass</w:t>
      </w:r>
      <w:r w:rsidR="004A7130" w:rsidRPr="000F0710">
        <w:t xml:space="preserve"> gegen „Linksintellektuelle“: Pazifisten, Schriftsteller, Publizisten und andere „Marxisten“, vorgehen zu können.</w:t>
      </w:r>
      <w:r w:rsidR="00425E3B" w:rsidRPr="000F0710">
        <w:rPr>
          <w:rStyle w:val="Funotenzeichen"/>
        </w:rPr>
        <w:footnoteReference w:id="8"/>
      </w:r>
      <w:r w:rsidR="004A7130" w:rsidRPr="000F0710">
        <w:t xml:space="preserve"> – </w:t>
      </w:r>
      <w:r w:rsidR="00425E3B" w:rsidRPr="000F0710">
        <w:t xml:space="preserve">Die </w:t>
      </w:r>
      <w:r w:rsidR="00090F55" w:rsidRPr="000F0710">
        <w:t>Gelegenheit</w:t>
      </w:r>
      <w:r w:rsidR="004A7130" w:rsidRPr="000F0710">
        <w:t xml:space="preserve">, von diesen Listen Gebrauch zu machen, </w:t>
      </w:r>
      <w:r w:rsidR="00090F55" w:rsidRPr="000F0710">
        <w:t>ergab sich aus Anlass</w:t>
      </w:r>
      <w:r w:rsidR="004A7130" w:rsidRPr="000F0710">
        <w:t xml:space="preserve"> de</w:t>
      </w:r>
      <w:r w:rsidR="00090F55" w:rsidRPr="000F0710">
        <w:t>s</w:t>
      </w:r>
      <w:r w:rsidR="004A7130" w:rsidRPr="000F0710">
        <w:t xml:space="preserve"> Reichstagsbrand</w:t>
      </w:r>
      <w:r w:rsidR="00090F55" w:rsidRPr="000F0710">
        <w:t>es</w:t>
      </w:r>
      <w:r w:rsidR="004A7130" w:rsidRPr="000F0710">
        <w:t>.</w:t>
      </w:r>
      <w:r w:rsidR="00090F55" w:rsidRPr="000F0710">
        <w:t xml:space="preserve"> Das prominenteste Opfer dieser Verhaftungswelle war Carl von Ossietzky, der Herausgeber der </w:t>
      </w:r>
      <w:r w:rsidR="00090F55" w:rsidRPr="000F0710">
        <w:rPr>
          <w:i/>
        </w:rPr>
        <w:t>Weltbühne</w:t>
      </w:r>
      <w:r w:rsidR="00090F55" w:rsidRPr="000F0710">
        <w:t xml:space="preserve">. </w:t>
      </w:r>
    </w:p>
    <w:p w:rsidR="00090F55" w:rsidRPr="000F0710" w:rsidRDefault="004A7130" w:rsidP="0033577C">
      <w:pPr>
        <w:pStyle w:val="zitat"/>
        <w:spacing w:before="0" w:beforeAutospacing="0" w:after="0" w:afterAutospacing="0" w:line="276" w:lineRule="auto"/>
        <w:ind w:firstLine="708"/>
        <w:jc w:val="both"/>
      </w:pPr>
      <w:r w:rsidRPr="000F0710">
        <w:t xml:space="preserve">In </w:t>
      </w:r>
      <w:r w:rsidR="00090F55" w:rsidRPr="000F0710">
        <w:t>d</w:t>
      </w:r>
      <w:r w:rsidRPr="000F0710">
        <w:t xml:space="preserve">er Folge </w:t>
      </w:r>
      <w:r w:rsidR="00090F55" w:rsidRPr="000F0710">
        <w:t xml:space="preserve">des Reichstagsbrandes </w:t>
      </w:r>
      <w:r w:rsidRPr="000F0710">
        <w:t xml:space="preserve">wurde am 28. Februar </w:t>
      </w:r>
      <w:r w:rsidR="000C67A5" w:rsidRPr="000F0710">
        <w:t>eine weitere Notverordnung erlassen</w:t>
      </w:r>
      <w:r w:rsidR="00090F55" w:rsidRPr="000F0710">
        <w:t>:</w:t>
      </w:r>
      <w:r w:rsidR="000C67A5" w:rsidRPr="000F0710">
        <w:t xml:space="preserve"> </w:t>
      </w:r>
      <w:r w:rsidRPr="000F0710">
        <w:t>die „Verordnung des Reichspräsidenten zum Schutz von Volk und Staat“. Sie hob nahezu sämtliche Grundrechte der Verfassung auf, unter anderem das Brief- und Fernsprec</w:t>
      </w:r>
      <w:r w:rsidRPr="000F0710">
        <w:t>h</w:t>
      </w:r>
      <w:r w:rsidRPr="000F0710">
        <w:t xml:space="preserve">geheimnis </w:t>
      </w:r>
      <w:r w:rsidR="00311503" w:rsidRPr="000F0710">
        <w:t>sowie</w:t>
      </w:r>
      <w:r w:rsidRPr="000F0710">
        <w:t xml:space="preserve"> das Presse- und Versammlungsrecht. </w:t>
      </w:r>
      <w:r w:rsidR="00090F55" w:rsidRPr="000F0710">
        <w:t>Die</w:t>
      </w:r>
      <w:r w:rsidR="00311503" w:rsidRPr="000F0710">
        <w:t>se</w:t>
      </w:r>
      <w:r w:rsidR="00090F55" w:rsidRPr="000F0710">
        <w:t xml:space="preserve"> Notverordnung nahm das E</w:t>
      </w:r>
      <w:r w:rsidR="00090F55" w:rsidRPr="000F0710">
        <w:t>r</w:t>
      </w:r>
      <w:r w:rsidR="00090F55" w:rsidRPr="000F0710">
        <w:t xml:space="preserve">mächtigungsgesetz, das gemeinhin als die Grundlage des „totalen Staats“ bezeichnet wird, vorweg. </w:t>
      </w:r>
      <w:r w:rsidR="000C67A5" w:rsidRPr="000F0710">
        <w:t xml:space="preserve">Verdächtige konnten zeitlich unbegrenzt in Haft genommen werden. Die Haft </w:t>
      </w:r>
      <w:r w:rsidR="00090F55" w:rsidRPr="000F0710">
        <w:t xml:space="preserve">(„Schutzhaft“) </w:t>
      </w:r>
      <w:r w:rsidR="000C67A5" w:rsidRPr="000F0710">
        <w:t>unterlag keiner richterliche</w:t>
      </w:r>
      <w:r w:rsidR="001B5F2D">
        <w:t>n</w:t>
      </w:r>
      <w:r w:rsidR="000C67A5" w:rsidRPr="000F0710">
        <w:t xml:space="preserve"> Kontrolle</w:t>
      </w:r>
      <w:r w:rsidR="00090F55" w:rsidRPr="000F0710">
        <w:t>;</w:t>
      </w:r>
      <w:r w:rsidR="000C67A5" w:rsidRPr="000F0710">
        <w:t xml:space="preserve"> den Verhafteten standen</w:t>
      </w:r>
      <w:r w:rsidR="00090F55" w:rsidRPr="000F0710">
        <w:t xml:space="preserve"> darüber hi</w:t>
      </w:r>
      <w:r w:rsidR="00090F55" w:rsidRPr="000F0710">
        <w:t>n</w:t>
      </w:r>
      <w:r w:rsidR="00090F55" w:rsidRPr="000F0710">
        <w:t>aus</w:t>
      </w:r>
      <w:r w:rsidR="000C67A5" w:rsidRPr="000F0710">
        <w:t xml:space="preserve"> keine Rechtsmittel zur Verfügung. </w:t>
      </w:r>
    </w:p>
    <w:p w:rsidR="003D25DD" w:rsidRPr="000F0710" w:rsidRDefault="000C67A5" w:rsidP="0033577C">
      <w:pPr>
        <w:pStyle w:val="zitat"/>
        <w:spacing w:before="0" w:beforeAutospacing="0" w:after="0" w:afterAutospacing="0" w:line="276" w:lineRule="auto"/>
        <w:ind w:firstLine="708"/>
        <w:jc w:val="both"/>
      </w:pPr>
      <w:r w:rsidRPr="000F0710">
        <w:t>Damit war</w:t>
      </w:r>
      <w:r w:rsidR="003D25DD" w:rsidRPr="000F0710">
        <w:t xml:space="preserve"> der Wahlkampf endgültig in terroristische Bahnen gelenkt.</w:t>
      </w:r>
      <w:r w:rsidR="003964EB" w:rsidRPr="000F0710">
        <w:t xml:space="preserve"> Die Notveror</w:t>
      </w:r>
      <w:r w:rsidR="003964EB" w:rsidRPr="000F0710">
        <w:t>d</w:t>
      </w:r>
      <w:r w:rsidR="003964EB" w:rsidRPr="000F0710">
        <w:t xml:space="preserve">nung </w:t>
      </w:r>
      <w:r w:rsidR="00090F55" w:rsidRPr="000F0710">
        <w:t xml:space="preserve">„zum Schutz von Volk und Staat“ </w:t>
      </w:r>
      <w:r w:rsidR="003964EB" w:rsidRPr="000F0710">
        <w:t>blieb bis zum Ende des Dritten Reiches in Kraft und war damit die Basis eines permanenten rechtlichen Ausnahmezustandes.</w:t>
      </w:r>
    </w:p>
    <w:p w:rsidR="00090F55" w:rsidRPr="000F0710" w:rsidRDefault="00090F55" w:rsidP="0033577C">
      <w:pPr>
        <w:pStyle w:val="zitat"/>
        <w:spacing w:before="0" w:beforeAutospacing="0" w:after="0" w:afterAutospacing="0" w:line="276" w:lineRule="auto"/>
        <w:ind w:firstLine="708"/>
        <w:jc w:val="both"/>
      </w:pPr>
    </w:p>
    <w:p w:rsidR="00F623DE" w:rsidRPr="000F0710" w:rsidRDefault="003964EB" w:rsidP="0033577C">
      <w:pPr>
        <w:pStyle w:val="zitat"/>
        <w:spacing w:before="0" w:beforeAutospacing="0" w:after="0" w:afterAutospacing="0" w:line="276" w:lineRule="auto"/>
        <w:ind w:firstLine="708"/>
        <w:jc w:val="both"/>
      </w:pPr>
      <w:r w:rsidRPr="000F0710">
        <w:t xml:space="preserve">Der Staatsterror </w:t>
      </w:r>
      <w:r w:rsidR="00C53E33" w:rsidRPr="000F0710">
        <w:t>im Zusammenhang der</w:t>
      </w:r>
      <w:r w:rsidRPr="000F0710">
        <w:t xml:space="preserve"> Wahlen vom 5. März 1933 richtete sich in er</w:t>
      </w:r>
      <w:r w:rsidRPr="000F0710">
        <w:t>s</w:t>
      </w:r>
      <w:r w:rsidRPr="000F0710">
        <w:t xml:space="preserve">ter Linie gegen die politischen Parteien. </w:t>
      </w:r>
      <w:r w:rsidR="00311503" w:rsidRPr="000F0710">
        <w:t>B</w:t>
      </w:r>
      <w:r w:rsidRPr="000F0710">
        <w:t>etroffen war</w:t>
      </w:r>
      <w:r w:rsidR="00C53E33" w:rsidRPr="000F0710">
        <w:t>en</w:t>
      </w:r>
      <w:r w:rsidRPr="000F0710">
        <w:t xml:space="preserve"> jedoch auch Teil</w:t>
      </w:r>
      <w:r w:rsidR="00C53E33" w:rsidRPr="000F0710">
        <w:t xml:space="preserve">e </w:t>
      </w:r>
      <w:r w:rsidRPr="000F0710">
        <w:t>der jüdischen B</w:t>
      </w:r>
      <w:r w:rsidRPr="000F0710">
        <w:t>e</w:t>
      </w:r>
      <w:r w:rsidRPr="000F0710">
        <w:t>völkerung</w:t>
      </w:r>
      <w:r w:rsidR="00311503" w:rsidRPr="000F0710">
        <w:t>, darunter auch Privatpersonen</w:t>
      </w:r>
      <w:r w:rsidRPr="000F0710">
        <w:t>. Symptomatisch ist der Fall des</w:t>
      </w:r>
      <w:r w:rsidR="00C53E33" w:rsidRPr="000F0710">
        <w:t xml:space="preserve"> 18-jährigen</w:t>
      </w:r>
      <w:r w:rsidRPr="000F0710">
        <w:t xml:space="preserve"> Berliner Bäckerlehrlings Siegbert Kindermann. </w:t>
      </w:r>
      <w:r w:rsidR="00C53E33" w:rsidRPr="000F0710">
        <w:t>Kindermann war nicht Mitglied von KPD, SPD oder anderer sozialistischer Gruppierungen</w:t>
      </w:r>
      <w:r w:rsidR="00311503" w:rsidRPr="000F0710">
        <w:t xml:space="preserve">. Er </w:t>
      </w:r>
      <w:r w:rsidR="00C53E33" w:rsidRPr="000F0710">
        <w:t>war 1932 von Nationalsozialisten auf der Straße überfallen worden und hatte</w:t>
      </w:r>
      <w:r w:rsidR="000C67A5" w:rsidRPr="000F0710">
        <w:t xml:space="preserve"> </w:t>
      </w:r>
      <w:r w:rsidR="00C53E33" w:rsidRPr="000F0710">
        <w:t>es gewagt, bei der Polizei Anzeige zu erstatten. Er wurde in e</w:t>
      </w:r>
      <w:r w:rsidR="00C53E33" w:rsidRPr="000F0710">
        <w:t>i</w:t>
      </w:r>
      <w:r w:rsidR="00C53E33" w:rsidRPr="000F0710">
        <w:t xml:space="preserve">nem der Berliner SA-Bunker, in der </w:t>
      </w:r>
      <w:proofErr w:type="spellStart"/>
      <w:r w:rsidR="00C53E33" w:rsidRPr="000F0710">
        <w:t>Hedemannstraße</w:t>
      </w:r>
      <w:proofErr w:type="spellEnd"/>
      <w:r w:rsidR="00C53E33" w:rsidRPr="000F0710">
        <w:t xml:space="preserve"> 31, zu Tode geprügelt.</w:t>
      </w:r>
      <w:r w:rsidR="00C53E33" w:rsidRPr="000F0710">
        <w:rPr>
          <w:rStyle w:val="Funotenzeichen"/>
        </w:rPr>
        <w:footnoteReference w:id="9"/>
      </w:r>
      <w:r w:rsidR="00C53E33" w:rsidRPr="000F0710">
        <w:t xml:space="preserve"> </w:t>
      </w:r>
      <w:r w:rsidR="00311503" w:rsidRPr="000F0710">
        <w:t xml:space="preserve">Er starb am 18. März 1933. </w:t>
      </w:r>
      <w:r w:rsidR="00C53E33" w:rsidRPr="000F0710">
        <w:t>Die genaue Zahl derjenigen, die</w:t>
      </w:r>
      <w:r w:rsidR="001518EB" w:rsidRPr="000F0710">
        <w:t xml:space="preserve"> im Februar und März Opfer des Terrors wurden, ist niemals ermittelt worden.</w:t>
      </w:r>
      <w:r w:rsidR="00C53E33" w:rsidRPr="000F0710">
        <w:t xml:space="preserve"> </w:t>
      </w:r>
    </w:p>
    <w:p w:rsidR="00857995" w:rsidRPr="000F0710" w:rsidRDefault="00311503" w:rsidP="0033577C">
      <w:pPr>
        <w:spacing w:after="0"/>
        <w:ind w:firstLine="708"/>
        <w:jc w:val="both"/>
      </w:pPr>
      <w:r w:rsidRPr="000F0710">
        <w:t>Prominente Repräsentanten des kulturellen Lebens waren v</w:t>
      </w:r>
      <w:r w:rsidR="008B7377" w:rsidRPr="000F0710">
        <w:t>o</w:t>
      </w:r>
      <w:r w:rsidRPr="000F0710">
        <w:t>n Boykott</w:t>
      </w:r>
      <w:r w:rsidR="008B7377" w:rsidRPr="000F0710">
        <w:t xml:space="preserve"> b</w:t>
      </w:r>
      <w:r w:rsidR="001518EB" w:rsidRPr="000F0710">
        <w:t>etroffen</w:t>
      </w:r>
      <w:r w:rsidR="00857995" w:rsidRPr="000F0710">
        <w:t>: J</w:t>
      </w:r>
      <w:r w:rsidR="00857995" w:rsidRPr="000F0710">
        <w:t>u</w:t>
      </w:r>
      <w:r w:rsidR="00857995" w:rsidRPr="000F0710">
        <w:t>den wie Nicht-Juden, darunter vor allem Avantgardisten. Die Beispiele sind zahllos:</w:t>
      </w:r>
      <w:r w:rsidR="001518EB" w:rsidRPr="000F0710">
        <w:t xml:space="preserve"> </w:t>
      </w:r>
      <w:r w:rsidR="00D23DC2" w:rsidRPr="000F0710">
        <w:t>A</w:t>
      </w:r>
      <w:r w:rsidR="001518EB" w:rsidRPr="000F0710">
        <w:t xml:space="preserve">m 16. März </w:t>
      </w:r>
      <w:r w:rsidR="00D23DC2" w:rsidRPr="000F0710">
        <w:t xml:space="preserve">wurde </w:t>
      </w:r>
      <w:r w:rsidR="001518EB" w:rsidRPr="000F0710">
        <w:t xml:space="preserve">in Leipzig ein Gewandhauskonzert unter der Leitung von Bruno Walter verboten. </w:t>
      </w:r>
      <w:r w:rsidR="002D5FFD" w:rsidRPr="000F0710">
        <w:t xml:space="preserve">Ein an der Staatsoper Unter den Linden in Berlin </w:t>
      </w:r>
      <w:r w:rsidR="00D23DC2" w:rsidRPr="000F0710">
        <w:t xml:space="preserve">für den 12. Februar </w:t>
      </w:r>
      <w:r w:rsidR="002D5FFD" w:rsidRPr="000F0710">
        <w:t xml:space="preserve">angesetztes Konzert von </w:t>
      </w:r>
      <w:r w:rsidR="00D23DC2" w:rsidRPr="000F0710">
        <w:t>Otto Klemperer</w:t>
      </w:r>
      <w:r w:rsidR="002D5FFD" w:rsidRPr="000F0710">
        <w:t xml:space="preserve"> f</w:t>
      </w:r>
      <w:r w:rsidR="00D23DC2" w:rsidRPr="000F0710">
        <w:t>iel</w:t>
      </w:r>
      <w:r w:rsidR="002D5FFD" w:rsidRPr="000F0710">
        <w:t xml:space="preserve"> „aus Gründen der öffentlichen Sicherheit“ aus. </w:t>
      </w:r>
      <w:r w:rsidR="00857995" w:rsidRPr="000F0710">
        <w:t xml:space="preserve">In Dresden wurde Fritz Busch am 7. März daran gehindert, eine </w:t>
      </w:r>
      <w:proofErr w:type="spellStart"/>
      <w:r w:rsidR="00857995" w:rsidRPr="000F0710">
        <w:rPr>
          <w:i/>
        </w:rPr>
        <w:t>Rigoletto</w:t>
      </w:r>
      <w:proofErr w:type="spellEnd"/>
      <w:r w:rsidR="00857995" w:rsidRPr="000F0710">
        <w:t>-Aufführung zu dirigieren: NSDAP-Mitglieder brüllten Busch nieder. Wenig später versprach Göring Busch seine Wiedereinse</w:t>
      </w:r>
      <w:r w:rsidR="00857995" w:rsidRPr="000F0710">
        <w:t>t</w:t>
      </w:r>
      <w:r w:rsidR="00857995" w:rsidRPr="000F0710">
        <w:t xml:space="preserve">zung. Busch lehnte ab und ging ins Exil. – Der Zweck solcher Aktionen war nicht </w:t>
      </w:r>
      <w:proofErr w:type="spellStart"/>
      <w:r w:rsidR="00857995" w:rsidRPr="000F0710">
        <w:t>misszuve</w:t>
      </w:r>
      <w:r w:rsidR="00857995" w:rsidRPr="000F0710">
        <w:t>r</w:t>
      </w:r>
      <w:r w:rsidR="00857995" w:rsidRPr="000F0710">
        <w:t>stehen</w:t>
      </w:r>
      <w:proofErr w:type="spellEnd"/>
      <w:r w:rsidR="00857995" w:rsidRPr="000F0710">
        <w:t>: Die künstlerische Prominenz sollte eingeschüchtert und letztendlich gefügig gemacht werden.</w:t>
      </w:r>
    </w:p>
    <w:p w:rsidR="00D23DC2" w:rsidRPr="000F0710" w:rsidRDefault="00D23DC2" w:rsidP="0033577C">
      <w:pPr>
        <w:spacing w:after="0"/>
        <w:ind w:firstLine="708"/>
        <w:jc w:val="both"/>
      </w:pPr>
      <w:r w:rsidRPr="000F0710">
        <w:t xml:space="preserve">Zur Absage </w:t>
      </w:r>
      <w:r w:rsidR="00857995" w:rsidRPr="000F0710">
        <w:t xml:space="preserve">einer Veranstaltung </w:t>
      </w:r>
      <w:r w:rsidR="002D5FFD" w:rsidRPr="000F0710">
        <w:t xml:space="preserve">genügte </w:t>
      </w:r>
      <w:r w:rsidR="00857995" w:rsidRPr="000F0710">
        <w:t>der</w:t>
      </w:r>
      <w:r w:rsidR="002D5FFD" w:rsidRPr="000F0710">
        <w:t xml:space="preserve"> anonyme Hinweis, „es werde Krawall geben“. Hans Hinkel, </w:t>
      </w:r>
      <w:r w:rsidRPr="000F0710">
        <w:t xml:space="preserve">der zuständige </w:t>
      </w:r>
      <w:r w:rsidR="002D5FFD" w:rsidRPr="000F0710">
        <w:t>Kommissar im preußischen Kultusministerium</w:t>
      </w:r>
      <w:r w:rsidRPr="000F0710">
        <w:t>,</w:t>
      </w:r>
      <w:r w:rsidR="002D5FFD" w:rsidRPr="000F0710">
        <w:t xml:space="preserve"> </w:t>
      </w:r>
      <w:r w:rsidRPr="000F0710">
        <w:t>rechtfe</w:t>
      </w:r>
      <w:r w:rsidRPr="000F0710">
        <w:t>r</w:t>
      </w:r>
      <w:r w:rsidRPr="000F0710">
        <w:t xml:space="preserve">tigte </w:t>
      </w:r>
      <w:r w:rsidR="00491164" w:rsidRPr="000F0710">
        <w:t xml:space="preserve">in einem Interview mit der </w:t>
      </w:r>
      <w:r w:rsidR="00491164" w:rsidRPr="000F0710">
        <w:rPr>
          <w:i/>
        </w:rPr>
        <w:t xml:space="preserve">Deutschen Kultur-Wacht </w:t>
      </w:r>
      <w:r w:rsidRPr="000F0710">
        <w:t xml:space="preserve">die Absage </w:t>
      </w:r>
      <w:r w:rsidR="00491164" w:rsidRPr="000F0710">
        <w:t xml:space="preserve">des Klemperer-Konzerts </w:t>
      </w:r>
      <w:r w:rsidRPr="000F0710">
        <w:t>mit folgender Erklärung</w:t>
      </w:r>
      <w:r w:rsidR="002D5FFD" w:rsidRPr="000F0710">
        <w:t>:</w:t>
      </w:r>
      <w:r w:rsidR="00B73413" w:rsidRPr="000F0710">
        <w:t xml:space="preserve"> „Wir konnten für eine derartige Veranstaltung in jenen Tagen unsere SA. </w:t>
      </w:r>
      <w:r w:rsidRPr="000F0710">
        <w:t>u</w:t>
      </w:r>
      <w:r w:rsidR="00B73413" w:rsidRPr="000F0710">
        <w:t xml:space="preserve">nd </w:t>
      </w:r>
      <w:proofErr w:type="gramStart"/>
      <w:r w:rsidR="00B73413" w:rsidRPr="000F0710">
        <w:t>SS.,</w:t>
      </w:r>
      <w:proofErr w:type="gramEnd"/>
      <w:r w:rsidR="00B73413" w:rsidRPr="000F0710">
        <w:t xml:space="preserve"> die wir für wichtigere Dinge brauchten, nicht als Saalschutz für Herrn Klemp</w:t>
      </w:r>
      <w:r w:rsidR="00B73413" w:rsidRPr="000F0710">
        <w:t>e</w:t>
      </w:r>
      <w:r w:rsidR="00B73413" w:rsidRPr="000F0710">
        <w:t>rer stellen. Letzten Endes ist die deutsch</w:t>
      </w:r>
      <w:r w:rsidR="00B04EE9" w:rsidRPr="000F0710">
        <w:t>e</w:t>
      </w:r>
      <w:r w:rsidR="00B73413" w:rsidRPr="000F0710">
        <w:t xml:space="preserve"> Öffentlichkeit seit langem von nicht wenigen jüd</w:t>
      </w:r>
      <w:r w:rsidR="00B73413" w:rsidRPr="000F0710">
        <w:t>i</w:t>
      </w:r>
      <w:r w:rsidR="00B73413" w:rsidRPr="000F0710">
        <w:t xml:space="preserve">schen Bankrotteuren in der Kunst provoziert worden, so </w:t>
      </w:r>
      <w:proofErr w:type="spellStart"/>
      <w:r w:rsidR="00B73413" w:rsidRPr="000F0710">
        <w:t>daß</w:t>
      </w:r>
      <w:proofErr w:type="spellEnd"/>
      <w:r w:rsidR="00B73413" w:rsidRPr="000F0710">
        <w:t xml:space="preserve"> – das mag bedauerlich sein – Klemperer und Bruno Walter unter dieser Volksstimmung zu leiden hatten.“</w:t>
      </w:r>
      <w:r w:rsidR="00B73413" w:rsidRPr="000F0710">
        <w:rPr>
          <w:rStyle w:val="Funotenzeichen"/>
        </w:rPr>
        <w:t xml:space="preserve"> </w:t>
      </w:r>
      <w:r w:rsidR="00B73413" w:rsidRPr="000F0710">
        <w:rPr>
          <w:rStyle w:val="Funotenzeichen"/>
        </w:rPr>
        <w:footnoteReference w:id="10"/>
      </w:r>
      <w:r w:rsidR="00B73413" w:rsidRPr="000F0710">
        <w:t xml:space="preserve"> </w:t>
      </w:r>
    </w:p>
    <w:p w:rsidR="00491164" w:rsidRPr="000F0710" w:rsidRDefault="00B73413" w:rsidP="0033577C">
      <w:pPr>
        <w:spacing w:after="0"/>
        <w:ind w:firstLine="708"/>
        <w:jc w:val="both"/>
      </w:pPr>
      <w:r w:rsidRPr="000F0710">
        <w:t>Wie diese Volksstimmung</w:t>
      </w:r>
      <w:r w:rsidR="00D23DC2" w:rsidRPr="000F0710">
        <w:t>, von der Hans Hinkel sprach,</w:t>
      </w:r>
      <w:r w:rsidRPr="000F0710">
        <w:t xml:space="preserve"> erzeugt – und damit Druck auf die zuständigen Instanzen ausgeübt w</w:t>
      </w:r>
      <w:r w:rsidR="002573E1" w:rsidRPr="000F0710">
        <w:t>u</w:t>
      </w:r>
      <w:r w:rsidRPr="000F0710">
        <w:t>rd</w:t>
      </w:r>
      <w:r w:rsidR="002573E1" w:rsidRPr="000F0710">
        <w:t>e</w:t>
      </w:r>
      <w:r w:rsidRPr="000F0710">
        <w:t xml:space="preserve"> –, zeigt in exemplarischer Form der Fall des Essener Oberspielleiters P. Walter Jacob. </w:t>
      </w:r>
    </w:p>
    <w:p w:rsidR="00C70B59" w:rsidRPr="000F0710" w:rsidRDefault="00491164" w:rsidP="0033577C">
      <w:pPr>
        <w:spacing w:after="0"/>
        <w:ind w:firstLine="708"/>
        <w:jc w:val="both"/>
      </w:pPr>
      <w:r w:rsidRPr="000F0710">
        <w:t>Am 26. März 1933 erschien i</w:t>
      </w:r>
      <w:r w:rsidR="00B73413" w:rsidRPr="000F0710">
        <w:t xml:space="preserve">n der Essener </w:t>
      </w:r>
      <w:r w:rsidR="00B73413" w:rsidRPr="000F0710">
        <w:rPr>
          <w:i/>
        </w:rPr>
        <w:t>Nationalzeitung</w:t>
      </w:r>
      <w:r w:rsidR="00B73413" w:rsidRPr="000F0710">
        <w:t xml:space="preserve">, einem Organ der NSDAP, herausgegeben von Josef </w:t>
      </w:r>
      <w:proofErr w:type="spellStart"/>
      <w:r w:rsidR="00B73413" w:rsidRPr="000F0710">
        <w:t>Terboven</w:t>
      </w:r>
      <w:proofErr w:type="spellEnd"/>
      <w:r w:rsidR="00B73413" w:rsidRPr="000F0710">
        <w:t xml:space="preserve">, </w:t>
      </w:r>
      <w:r w:rsidRPr="000F0710">
        <w:t xml:space="preserve">dem Gauleiter von Essen, </w:t>
      </w:r>
      <w:r w:rsidR="00B73413" w:rsidRPr="000F0710">
        <w:t>die Notiz: „Wie wir erfahren, soll demnächst an der Essener Städtischen Oper Wagners ‚Fliegender Holländer‘ aufgeführt werden. Re</w:t>
      </w:r>
      <w:r w:rsidR="002573E1" w:rsidRPr="000F0710">
        <w:t>g</w:t>
      </w:r>
      <w:r w:rsidR="00B73413" w:rsidRPr="000F0710">
        <w:t xml:space="preserve">ie führt ausgerechnet der Jude und </w:t>
      </w:r>
      <w:r w:rsidR="00336EFE" w:rsidRPr="000F0710">
        <w:t xml:space="preserve">Sozialdemokrat </w:t>
      </w:r>
      <w:r w:rsidR="00336EFE" w:rsidRPr="000F0710">
        <w:rPr>
          <w:i/>
        </w:rPr>
        <w:t>Walter Jacob</w:t>
      </w:r>
      <w:r w:rsidR="00336EFE" w:rsidRPr="000F0710">
        <w:t>. Eine Frage, Herr Operndirekt</w:t>
      </w:r>
      <w:r w:rsidR="002573E1" w:rsidRPr="000F0710">
        <w:t>or</w:t>
      </w:r>
      <w:r w:rsidR="00336EFE" w:rsidRPr="000F0710">
        <w:t xml:space="preserve"> </w:t>
      </w:r>
      <w:proofErr w:type="spellStart"/>
      <w:r w:rsidR="00336EFE" w:rsidRPr="000F0710">
        <w:rPr>
          <w:i/>
        </w:rPr>
        <w:t>Lengstorff</w:t>
      </w:r>
      <w:proofErr w:type="spellEnd"/>
      <w:r w:rsidR="00336EFE" w:rsidRPr="000F0710">
        <w:t xml:space="preserve">: Geht es Ihnen eigentlich so gut, </w:t>
      </w:r>
      <w:proofErr w:type="spellStart"/>
      <w:r w:rsidR="00336EFE" w:rsidRPr="000F0710">
        <w:t>daß</w:t>
      </w:r>
      <w:proofErr w:type="spellEnd"/>
      <w:r w:rsidR="00336EFE" w:rsidRPr="000F0710">
        <w:t xml:space="preserve"> Sie es wagen können, jetzt noch das deutsche Volk mit einem jüdischen Regisseur vor den Kopf zu stoßen – nac</w:t>
      </w:r>
      <w:r w:rsidR="00336EFE" w:rsidRPr="000F0710">
        <w:t>h</w:t>
      </w:r>
      <w:r w:rsidR="00336EFE" w:rsidRPr="000F0710">
        <w:t xml:space="preserve">dem der jüdische Geist an den deutschen Bühnen endlich und Gott sei </w:t>
      </w:r>
      <w:proofErr w:type="spellStart"/>
      <w:r w:rsidR="00336EFE" w:rsidRPr="000F0710">
        <w:t>dank</w:t>
      </w:r>
      <w:proofErr w:type="spellEnd"/>
      <w:r w:rsidR="00336EFE" w:rsidRPr="000F0710">
        <w:t xml:space="preserve"> beseitigt ist?“ </w:t>
      </w:r>
      <w:r w:rsidR="002573E1" w:rsidRPr="000F0710">
        <w:t>– D</w:t>
      </w:r>
      <w:r w:rsidR="00336EFE" w:rsidRPr="000F0710">
        <w:t>ie Reaktion erfolgt prompt</w:t>
      </w:r>
      <w:r w:rsidR="002573E1" w:rsidRPr="000F0710">
        <w:t>:</w:t>
      </w:r>
      <w:r w:rsidR="00336EFE" w:rsidRPr="000F0710">
        <w:t xml:space="preserve"> </w:t>
      </w:r>
      <w:r w:rsidR="002573E1" w:rsidRPr="000F0710">
        <w:t>A</w:t>
      </w:r>
      <w:r w:rsidR="00336EFE" w:rsidRPr="000F0710">
        <w:t>m 30.</w:t>
      </w:r>
      <w:r w:rsidR="002573E1" w:rsidRPr="000F0710">
        <w:t xml:space="preserve"> März </w:t>
      </w:r>
      <w:r w:rsidR="00336EFE" w:rsidRPr="000F0710">
        <w:t>1933</w:t>
      </w:r>
      <w:r w:rsidR="002573E1" w:rsidRPr="000F0710">
        <w:t xml:space="preserve"> wurde</w:t>
      </w:r>
      <w:r w:rsidR="00336EFE" w:rsidRPr="000F0710">
        <w:t xml:space="preserve"> </w:t>
      </w:r>
      <w:r w:rsidR="002573E1" w:rsidRPr="000F0710">
        <w:t>u</w:t>
      </w:r>
      <w:r w:rsidR="00336EFE" w:rsidRPr="000F0710">
        <w:t>nter der Überschrift „Jüdische M</w:t>
      </w:r>
      <w:r w:rsidR="00336EFE" w:rsidRPr="000F0710">
        <w:t>i</w:t>
      </w:r>
      <w:r w:rsidR="00336EFE" w:rsidRPr="000F0710">
        <w:t>men nicht mehr gefragt“</w:t>
      </w:r>
      <w:r w:rsidR="002573E1" w:rsidRPr="000F0710">
        <w:t>,</w:t>
      </w:r>
      <w:r w:rsidR="00336EFE" w:rsidRPr="000F0710">
        <w:t xml:space="preserve"> mitgeteilt: „Endlich hat man sich auch in Essen dazu aufgerafft, […] den ‚deutschen‘ Bühnenkünstlern jüdischer Rasse den </w:t>
      </w:r>
      <w:proofErr w:type="spellStart"/>
      <w:r w:rsidR="00336EFE" w:rsidRPr="000F0710">
        <w:t>Laufpaß</w:t>
      </w:r>
      <w:proofErr w:type="spellEnd"/>
      <w:r w:rsidR="00336EFE" w:rsidRPr="000F0710">
        <w:t xml:space="preserve"> zu geben. Die Stadtverwaltung </w:t>
      </w:r>
      <w:r w:rsidR="00336EFE" w:rsidRPr="000F0710">
        <w:lastRenderedPageBreak/>
        <w:t xml:space="preserve">hielt es allerdings für geboten, die Namen schämig zu verschweigen, doch wir sehen keine Veranlassung, der </w:t>
      </w:r>
      <w:proofErr w:type="spellStart"/>
      <w:r w:rsidR="00336EFE" w:rsidRPr="000F0710">
        <w:t>deutschbewußten</w:t>
      </w:r>
      <w:proofErr w:type="spellEnd"/>
      <w:r w:rsidR="00336EFE" w:rsidRPr="000F0710">
        <w:t xml:space="preserve"> Bevölkerung Essens nicht mitzuteilen, auf welch wer</w:t>
      </w:r>
      <w:r w:rsidR="00336EFE" w:rsidRPr="000F0710">
        <w:t>t</w:t>
      </w:r>
      <w:r w:rsidR="00336EFE" w:rsidRPr="000F0710">
        <w:t xml:space="preserve">volle künstlerische Kräfte sie in Zukunft wird verzichten müssen. Kurzum, es wurden der Möglichkeit, sich fernerhin an der deutschen Kunst versündigen zu können, beraubt: […] die Opernmitglieder </w:t>
      </w:r>
      <w:proofErr w:type="spellStart"/>
      <w:r w:rsidR="00336EFE" w:rsidRPr="000F0710">
        <w:rPr>
          <w:i/>
        </w:rPr>
        <w:t>Lieven</w:t>
      </w:r>
      <w:proofErr w:type="spellEnd"/>
      <w:r w:rsidR="00336EFE" w:rsidRPr="000F0710">
        <w:t xml:space="preserve">, </w:t>
      </w:r>
      <w:r w:rsidR="00336EFE" w:rsidRPr="000F0710">
        <w:rPr>
          <w:i/>
        </w:rPr>
        <w:t>Jacob</w:t>
      </w:r>
      <w:r w:rsidR="00336EFE" w:rsidRPr="000F0710">
        <w:t xml:space="preserve"> und </w:t>
      </w:r>
      <w:r w:rsidR="00336EFE" w:rsidRPr="000F0710">
        <w:rPr>
          <w:i/>
        </w:rPr>
        <w:t>Cohen</w:t>
      </w:r>
      <w:r w:rsidR="00336EFE" w:rsidRPr="000F0710">
        <w:t xml:space="preserve"> […]“.</w:t>
      </w:r>
      <w:r w:rsidR="00587934" w:rsidRPr="000F0710">
        <w:rPr>
          <w:rStyle w:val="Funotenzeichen"/>
        </w:rPr>
        <w:footnoteReference w:id="11"/>
      </w:r>
      <w:r w:rsidR="00587934" w:rsidRPr="000F0710">
        <w:t xml:space="preserve"> </w:t>
      </w:r>
      <w:r w:rsidR="00336EFE" w:rsidRPr="000F0710">
        <w:t xml:space="preserve"> Ausgestellt </w:t>
      </w:r>
      <w:r w:rsidR="008375CD" w:rsidRPr="000F0710">
        <w:t>wurde</w:t>
      </w:r>
      <w:r w:rsidR="00336EFE" w:rsidRPr="000F0710">
        <w:t xml:space="preserve"> das </w:t>
      </w:r>
      <w:r w:rsidR="002573E1" w:rsidRPr="000F0710">
        <w:t xml:space="preserve">an Jacob gerichtete </w:t>
      </w:r>
      <w:r w:rsidR="00336EFE" w:rsidRPr="000F0710">
        <w:t>Entlassungsschreiben vom Essener Oberbürgermeister</w:t>
      </w:r>
      <w:r w:rsidR="002573E1" w:rsidRPr="000F0710">
        <w:t>.</w:t>
      </w:r>
      <w:r w:rsidR="00336EFE" w:rsidRPr="000F0710">
        <w:t xml:space="preserve"> </w:t>
      </w:r>
      <w:r w:rsidR="008375CD" w:rsidRPr="000F0710">
        <w:t>Dass er mit der Entlassung der Küns</w:t>
      </w:r>
      <w:r w:rsidR="008375CD" w:rsidRPr="000F0710">
        <w:t>t</w:t>
      </w:r>
      <w:r w:rsidR="008375CD" w:rsidRPr="000F0710">
        <w:t>ler direkt auf die Pressionen reagierte, zeigt der</w:t>
      </w:r>
      <w:r w:rsidR="00CA0DFA" w:rsidRPr="000F0710">
        <w:t xml:space="preserve"> Begriff der „Volksstimmung“: „Die </w:t>
      </w:r>
      <w:r w:rsidR="00CA0DFA" w:rsidRPr="000F0710">
        <w:rPr>
          <w:i/>
        </w:rPr>
        <w:t>zur Zeit vorhandene Stimmung weiter Volks</w:t>
      </w:r>
      <w:r w:rsidR="008375CD" w:rsidRPr="000F0710">
        <w:rPr>
          <w:i/>
        </w:rPr>
        <w:t>k</w:t>
      </w:r>
      <w:r w:rsidR="00CA0DFA" w:rsidRPr="000F0710">
        <w:rPr>
          <w:i/>
        </w:rPr>
        <w:t>reise</w:t>
      </w:r>
      <w:r w:rsidR="00CA0DFA" w:rsidRPr="000F0710">
        <w:t xml:space="preserve"> veranlasst mich, Sie bis auf weiteres von Ihren Dienstfunktionen zu beurlauben“</w:t>
      </w:r>
      <w:r w:rsidR="002573E1" w:rsidRPr="000F0710">
        <w:t xml:space="preserve"> (Hervorhebung F.T.)</w:t>
      </w:r>
      <w:r w:rsidR="00CA0DFA" w:rsidRPr="000F0710">
        <w:rPr>
          <w:rStyle w:val="Funotenzeichen"/>
        </w:rPr>
        <w:footnoteReference w:id="12"/>
      </w:r>
      <w:r w:rsidR="00CA0DFA" w:rsidRPr="000F0710">
        <w:t xml:space="preserve"> </w:t>
      </w:r>
      <w:r w:rsidR="002573E1" w:rsidRPr="000F0710">
        <w:t>A</w:t>
      </w:r>
      <w:r w:rsidR="00CA0DFA" w:rsidRPr="000F0710">
        <w:t>ufgrund der Warnung vor einer bevorstehenden Verhaftung flüchtete Jacob in der Nacht vom 31. März zum 1. April ins Exil nach Amsterdam.</w:t>
      </w:r>
      <w:r w:rsidR="00DE3EA9" w:rsidRPr="000F0710">
        <w:t xml:space="preserve"> </w:t>
      </w:r>
    </w:p>
    <w:p w:rsidR="001518EB" w:rsidRPr="000F0710" w:rsidRDefault="00DE3EA9" w:rsidP="0033577C">
      <w:pPr>
        <w:spacing w:after="0"/>
        <w:ind w:firstLine="708"/>
        <w:jc w:val="both"/>
      </w:pPr>
      <w:r w:rsidRPr="000F0710">
        <w:t>Als Teil dieser Kampagnen ist auch der „Protest der Richard-Wagner-Stadt München“ gegen Thomas Manns Rede „Leiden und Größe Richard Wagners“</w:t>
      </w:r>
      <w:r w:rsidR="00C70B59" w:rsidRPr="000F0710">
        <w:t xml:space="preserve"> zu verstehen</w:t>
      </w:r>
      <w:r w:rsidRPr="000F0710">
        <w:t xml:space="preserve">, der u.a. von Hans </w:t>
      </w:r>
      <w:proofErr w:type="spellStart"/>
      <w:r w:rsidRPr="000F0710">
        <w:t>Knappertsbusch</w:t>
      </w:r>
      <w:proofErr w:type="spellEnd"/>
      <w:r w:rsidRPr="000F0710">
        <w:t xml:space="preserve">, Hans Pfitzner und Richard </w:t>
      </w:r>
      <w:proofErr w:type="spellStart"/>
      <w:r w:rsidRPr="000F0710">
        <w:t>Strauss</w:t>
      </w:r>
      <w:proofErr w:type="spellEnd"/>
      <w:r w:rsidRPr="000F0710">
        <w:t xml:space="preserve"> unterzeichnet wurde. Gegen Thomas Mann wurde</w:t>
      </w:r>
      <w:r w:rsidR="00A542B1" w:rsidRPr="000F0710">
        <w:t xml:space="preserve"> – ein Faktum, das </w:t>
      </w:r>
      <w:r w:rsidR="008E7508" w:rsidRPr="000F0710">
        <w:t xml:space="preserve">bislang </w:t>
      </w:r>
      <w:r w:rsidR="00A542B1" w:rsidRPr="000F0710">
        <w:t>nicht hinreichend Beachtung gefunden hat –</w:t>
      </w:r>
      <w:r w:rsidR="008E7508" w:rsidRPr="000F0710">
        <w:t xml:space="preserve"> </w:t>
      </w:r>
      <w:r w:rsidR="00C70B59" w:rsidRPr="000F0710">
        <w:t>durch</w:t>
      </w:r>
      <w:r w:rsidR="008E7508" w:rsidRPr="000F0710">
        <w:t xml:space="preserve"> Reinhard Heydrich</w:t>
      </w:r>
      <w:r w:rsidR="00C70B59" w:rsidRPr="000F0710">
        <w:t xml:space="preserve"> mit Schreiben</w:t>
      </w:r>
      <w:r w:rsidR="008E7508" w:rsidRPr="000F0710">
        <w:t xml:space="preserve"> vo</w:t>
      </w:r>
      <w:r w:rsidRPr="000F0710">
        <w:t xml:space="preserve">m </w:t>
      </w:r>
      <w:r w:rsidR="008E7508" w:rsidRPr="000F0710">
        <w:t xml:space="preserve">12. </w:t>
      </w:r>
      <w:r w:rsidRPr="000F0710">
        <w:t>Ju</w:t>
      </w:r>
      <w:r w:rsidR="008E7508" w:rsidRPr="000F0710">
        <w:t>l</w:t>
      </w:r>
      <w:r w:rsidRPr="000F0710">
        <w:t xml:space="preserve">i </w:t>
      </w:r>
      <w:r w:rsidR="00A542B1" w:rsidRPr="000F0710">
        <w:t xml:space="preserve">1933 </w:t>
      </w:r>
      <w:r w:rsidR="008E7508" w:rsidRPr="000F0710">
        <w:t>e</w:t>
      </w:r>
      <w:r w:rsidR="00A542B1" w:rsidRPr="000F0710">
        <w:t xml:space="preserve">in </w:t>
      </w:r>
      <w:r w:rsidR="008E7508" w:rsidRPr="000F0710">
        <w:t>„Schutzh</w:t>
      </w:r>
      <w:r w:rsidR="00A542B1" w:rsidRPr="000F0710">
        <w:t>aftbefehl</w:t>
      </w:r>
      <w:r w:rsidR="008E7508" w:rsidRPr="000F0710">
        <w:t>“</w:t>
      </w:r>
      <w:r w:rsidR="00A542B1" w:rsidRPr="000F0710">
        <w:t xml:space="preserve"> erlassen.</w:t>
      </w:r>
      <w:r w:rsidR="008E7508" w:rsidRPr="000F0710">
        <w:t xml:space="preserve"> Ihm wurde eine „undeutsche, der nationalen Bewegung feindliche, marxistische und jude</w:t>
      </w:r>
      <w:r w:rsidR="008E7508" w:rsidRPr="000F0710">
        <w:t>n</w:t>
      </w:r>
      <w:r w:rsidR="008E7508" w:rsidRPr="000F0710">
        <w:t>freundliche Einstellung“ vorgeworfen, erkennbar u.a. daran, dass Thomas 1927 einen Aufruf des Kuratoriums für die Kinderheime der Roten Hilfe unterzeichnet habe, der Einladung des Polnisch-literarischen Clubs in Warschau gefolgt sei, 1931</w:t>
      </w:r>
      <w:r w:rsidR="007C03A8" w:rsidRPr="000F0710">
        <w:t xml:space="preserve"> einen Aufruf des Münchner Anti</w:t>
      </w:r>
      <w:r w:rsidR="007C03A8" w:rsidRPr="000F0710">
        <w:t>k</w:t>
      </w:r>
      <w:r w:rsidR="007C03A8" w:rsidRPr="000F0710">
        <w:t>riegskomitees unterzeichnet habe und</w:t>
      </w:r>
      <w:r w:rsidR="008E7508" w:rsidRPr="000F0710">
        <w:t xml:space="preserve"> zum Beisitzer des „Vereins zur Abwehr des Antisem</w:t>
      </w:r>
      <w:r w:rsidR="008E7508" w:rsidRPr="000F0710">
        <w:t>i</w:t>
      </w:r>
      <w:r w:rsidR="008E7508" w:rsidRPr="000F0710">
        <w:t>tismus“ gewählt worden sei</w:t>
      </w:r>
      <w:r w:rsidR="007C03A8" w:rsidRPr="000F0710">
        <w:t>.</w:t>
      </w:r>
      <w:r w:rsidR="007C03A8" w:rsidRPr="000F0710">
        <w:rPr>
          <w:rStyle w:val="Funotenzeichen"/>
        </w:rPr>
        <w:footnoteReference w:id="13"/>
      </w:r>
      <w:r w:rsidR="008E7508" w:rsidRPr="000F0710">
        <w:t xml:space="preserve"> </w:t>
      </w:r>
    </w:p>
    <w:p w:rsidR="00B73413" w:rsidRPr="000F0710" w:rsidRDefault="00B73413" w:rsidP="0033577C">
      <w:pPr>
        <w:spacing w:after="0"/>
        <w:ind w:firstLine="708"/>
        <w:jc w:val="both"/>
      </w:pPr>
    </w:p>
    <w:p w:rsidR="00E06F97" w:rsidRPr="000F0710" w:rsidRDefault="008375CD" w:rsidP="0033577C">
      <w:pPr>
        <w:spacing w:after="0"/>
        <w:ind w:firstLine="708"/>
        <w:jc w:val="both"/>
      </w:pPr>
      <w:r w:rsidRPr="000F0710">
        <w:t xml:space="preserve">Die Aktionen gegen die jüdische Bevölkerungsgruppe nahmen nach den Wahlen vom 5. März pogromartigen Charakter an. </w:t>
      </w:r>
      <w:r w:rsidR="00555FEF" w:rsidRPr="000F0710">
        <w:t>Sie richteten sich gegen jüdische Geschäftsleute, Ric</w:t>
      </w:r>
      <w:r w:rsidR="00555FEF" w:rsidRPr="000F0710">
        <w:t>h</w:t>
      </w:r>
      <w:r w:rsidR="00555FEF" w:rsidRPr="000F0710">
        <w:t xml:space="preserve">ter und Ärzte. </w:t>
      </w:r>
      <w:r w:rsidR="00067F72" w:rsidRPr="000F0710">
        <w:t>Am 9. März und am 4. April wurden im Berliner „Scheunenviertel“, einem vorwiegend von Ostjuden besiedelten Stadtteil, Razzien durchgeführt. Es wurden Verhaftu</w:t>
      </w:r>
      <w:r w:rsidR="00067F72" w:rsidRPr="000F0710">
        <w:t>n</w:t>
      </w:r>
      <w:r w:rsidR="00067F72" w:rsidRPr="000F0710">
        <w:t xml:space="preserve">gen und Überstellungen in die Konzentrationslager </w:t>
      </w:r>
      <w:r w:rsidR="00B04EE9" w:rsidRPr="000F0710">
        <w:t>veranlass</w:t>
      </w:r>
      <w:r w:rsidR="00067F72" w:rsidRPr="000F0710">
        <w:t>t. Am 12. März kam es in Bre</w:t>
      </w:r>
      <w:r w:rsidR="00067F72" w:rsidRPr="000F0710">
        <w:t>s</w:t>
      </w:r>
      <w:r w:rsidR="00067F72" w:rsidRPr="000F0710">
        <w:t xml:space="preserve">lau zu Übergriffen auf einzelne jüdische Richter und Rechtsanwälte. Daraufhin erschien am 19. März im </w:t>
      </w:r>
      <w:r w:rsidR="00067F72" w:rsidRPr="000F0710">
        <w:rPr>
          <w:i/>
        </w:rPr>
        <w:t>Völkischen Beobachter</w:t>
      </w:r>
      <w:r w:rsidR="00067F72" w:rsidRPr="000F0710">
        <w:t xml:space="preserve"> ein Artikel „Breslau und Moabit! Säuberung des </w:t>
      </w:r>
      <w:proofErr w:type="spellStart"/>
      <w:r w:rsidR="00067F72" w:rsidRPr="000F0710">
        <w:t>verjud</w:t>
      </w:r>
      <w:r w:rsidR="00067F72" w:rsidRPr="000F0710">
        <w:t>e</w:t>
      </w:r>
      <w:r w:rsidR="00067F72" w:rsidRPr="000F0710">
        <w:t>ten</w:t>
      </w:r>
      <w:proofErr w:type="spellEnd"/>
      <w:r w:rsidR="00067F72" w:rsidRPr="000F0710">
        <w:t xml:space="preserve"> Anwaltsberufs!“ Das war eine unverhüllte Aufforderung, die jüdischen Richter und A</w:t>
      </w:r>
      <w:r w:rsidR="00067F72" w:rsidRPr="000F0710">
        <w:t>n</w:t>
      </w:r>
      <w:r w:rsidR="00067F72" w:rsidRPr="000F0710">
        <w:t>wälte auch aus dem Kriminalgericht in Moabit zu vertreiben. Am 31. März erschienen d</w:t>
      </w:r>
      <w:r w:rsidR="00067F72" w:rsidRPr="000F0710">
        <w:t>a</w:t>
      </w:r>
      <w:r w:rsidR="00067F72" w:rsidRPr="000F0710">
        <w:t xml:space="preserve">raufhin, wie die </w:t>
      </w:r>
      <w:proofErr w:type="spellStart"/>
      <w:r w:rsidR="00067F72" w:rsidRPr="000F0710">
        <w:rPr>
          <w:i/>
        </w:rPr>
        <w:t>Vossische</w:t>
      </w:r>
      <w:proofErr w:type="spellEnd"/>
      <w:r w:rsidR="00067F72" w:rsidRPr="000F0710">
        <w:rPr>
          <w:i/>
        </w:rPr>
        <w:t xml:space="preserve"> Zeitung</w:t>
      </w:r>
      <w:r w:rsidR="00067F72" w:rsidRPr="000F0710">
        <w:t xml:space="preserve"> berichtete, Abteilungen der SA vor den Gebäuden des Be</w:t>
      </w:r>
      <w:r w:rsidR="00067F72" w:rsidRPr="000F0710">
        <w:t>r</w:t>
      </w:r>
      <w:r w:rsidR="00067F72" w:rsidRPr="000F0710">
        <w:t>liner Landgerichts I und des Amtsgerichts Mitte</w:t>
      </w:r>
      <w:r w:rsidR="00DE3EA9" w:rsidRPr="000F0710">
        <w:t xml:space="preserve"> und forderten ultimativ die Entfernung aller jüdischen Richter, Anwälte und Beamten. Unter Hinweis auf die „Erregung des Volkes über das anmaßende Auftreten amtierender jüdischer Rechtsanwälte“ wies daraufhin das preuß</w:t>
      </w:r>
      <w:r w:rsidR="00DE3EA9" w:rsidRPr="000F0710">
        <w:t>i</w:t>
      </w:r>
      <w:r w:rsidR="00DE3EA9" w:rsidRPr="000F0710">
        <w:t xml:space="preserve">sche Justizministerium die zuständigen Behörden an, „dafür zu sorgen, </w:t>
      </w:r>
      <w:proofErr w:type="spellStart"/>
      <w:r w:rsidR="00DE3EA9" w:rsidRPr="000F0710">
        <w:t>daß</w:t>
      </w:r>
      <w:proofErr w:type="spellEnd"/>
      <w:r w:rsidR="00DE3EA9" w:rsidRPr="000F0710">
        <w:t xml:space="preserve"> spätestens mit </w:t>
      </w:r>
      <w:r w:rsidR="00DE3EA9" w:rsidRPr="000F0710">
        <w:lastRenderedPageBreak/>
        <w:t>dem Beginn des von der NSDAP geleiteten Abwehrboykotts die Ursache solcher Selbsthilf</w:t>
      </w:r>
      <w:r w:rsidR="00DE3EA9" w:rsidRPr="000F0710">
        <w:t>e</w:t>
      </w:r>
      <w:r w:rsidR="00DE3EA9" w:rsidRPr="000F0710">
        <w:t>aktionen [!] beseitigt wird.“</w:t>
      </w:r>
      <w:r w:rsidR="00DE3EA9" w:rsidRPr="000F0710">
        <w:rPr>
          <w:rStyle w:val="Funotenzeichen"/>
        </w:rPr>
        <w:footnoteReference w:id="14"/>
      </w:r>
      <w:r w:rsidR="00067F72" w:rsidRPr="000F0710">
        <w:t xml:space="preserve"> </w:t>
      </w:r>
    </w:p>
    <w:p w:rsidR="008375CD" w:rsidRPr="000F0710" w:rsidRDefault="00A542B1" w:rsidP="0033577C">
      <w:pPr>
        <w:spacing w:after="0"/>
        <w:ind w:firstLine="708"/>
        <w:jc w:val="both"/>
      </w:pPr>
      <w:r w:rsidRPr="000F0710">
        <w:t>Ähnlich</w:t>
      </w:r>
      <w:r w:rsidR="00E06F97" w:rsidRPr="000F0710">
        <w:t xml:space="preserve"> war das Vorgehen gegenüber den</w:t>
      </w:r>
      <w:r w:rsidRPr="000F0710">
        <w:t xml:space="preserve"> jüdische</w:t>
      </w:r>
      <w:r w:rsidR="00E06F97" w:rsidRPr="000F0710">
        <w:t>n</w:t>
      </w:r>
      <w:r w:rsidRPr="000F0710">
        <w:t xml:space="preserve"> Ärzte</w:t>
      </w:r>
      <w:r w:rsidR="00E06F97" w:rsidRPr="000F0710">
        <w:t>n. Am 21. März 1933 b</w:t>
      </w:r>
      <w:r w:rsidR="00E06F97" w:rsidRPr="000F0710">
        <w:t>e</w:t>
      </w:r>
      <w:r w:rsidR="00E06F97" w:rsidRPr="000F0710">
        <w:t xml:space="preserve">richtete der </w:t>
      </w:r>
      <w:r w:rsidR="00E06F97" w:rsidRPr="000F0710">
        <w:rPr>
          <w:i/>
        </w:rPr>
        <w:t>Völkischen Beobachter</w:t>
      </w:r>
      <w:r w:rsidR="00E06F97" w:rsidRPr="000F0710">
        <w:t xml:space="preserve">: „Die Beschwerden der Staatskommissare für die Berliner Bezirke über die </w:t>
      </w:r>
      <w:proofErr w:type="spellStart"/>
      <w:r w:rsidR="00E06F97" w:rsidRPr="000F0710">
        <w:t>Verjudung</w:t>
      </w:r>
      <w:proofErr w:type="spellEnd"/>
      <w:r w:rsidR="00E06F97" w:rsidRPr="000F0710">
        <w:t xml:space="preserve"> der städtischen Krankenhäuser haben den neuen Stadtmedizina</w:t>
      </w:r>
      <w:r w:rsidR="00E06F97" w:rsidRPr="000F0710">
        <w:t>l</w:t>
      </w:r>
      <w:r w:rsidR="00E06F97" w:rsidRPr="000F0710">
        <w:t xml:space="preserve">rat </w:t>
      </w:r>
      <w:proofErr w:type="spellStart"/>
      <w:r w:rsidR="00E06F97" w:rsidRPr="000F0710">
        <w:t>Pg</w:t>
      </w:r>
      <w:proofErr w:type="spellEnd"/>
      <w:r w:rsidR="00E06F97" w:rsidRPr="000F0710">
        <w:t>. Dr. Klein veranlasst, die Verhältnisse im Moabiter Krankenhaus einer Untersuchung  zu unterziehen. In deren Verlauf sind nicht nur der Stadtarzt Dr. Harms und der leitende Arzt der gynäkologis</w:t>
      </w:r>
      <w:r w:rsidR="00AE0428" w:rsidRPr="000F0710">
        <w:t>c</w:t>
      </w:r>
      <w:r w:rsidR="00E06F97" w:rsidRPr="000F0710">
        <w:t>hen Abteilung Dr. Sie</w:t>
      </w:r>
      <w:r w:rsidR="00CF0FCA" w:rsidRPr="000F0710">
        <w:t>gbert Joseph, sondern auch die Volontär-Ärzte [es fo</w:t>
      </w:r>
      <w:r w:rsidR="00CF0FCA" w:rsidRPr="000F0710">
        <w:t>l</w:t>
      </w:r>
      <w:r w:rsidR="00CF0FCA" w:rsidRPr="000F0710">
        <w:t>gen 16 Namen] mit sofortiger Wirkung beurlaubt worden. Den Genannten, die entweder J</w:t>
      </w:r>
      <w:r w:rsidR="00CF0FCA" w:rsidRPr="000F0710">
        <w:t>u</w:t>
      </w:r>
      <w:r w:rsidR="00CF0FCA" w:rsidRPr="000F0710">
        <w:t>den bzw. Ausländer oder Angehörige der marxistischen Parteien sind, ist das Betreten des Krankenhauses verboten worden.“</w:t>
      </w:r>
      <w:r w:rsidR="00CF0FCA" w:rsidRPr="000F0710">
        <w:rPr>
          <w:rStyle w:val="Funotenzeichen"/>
        </w:rPr>
        <w:footnoteReference w:id="15"/>
      </w:r>
    </w:p>
    <w:p w:rsidR="008375CD" w:rsidRPr="000F0710" w:rsidRDefault="00A542B1" w:rsidP="0033577C">
      <w:pPr>
        <w:spacing w:after="0"/>
        <w:ind w:firstLine="708"/>
        <w:jc w:val="both"/>
      </w:pPr>
      <w:r w:rsidRPr="000F0710">
        <w:t xml:space="preserve">Der vorläufige Kulminationspunkt dieser Aktionen war der „Judenboykotttag“ vom 1. April 1933. An ihn schlossen sich </w:t>
      </w:r>
      <w:r w:rsidR="00E06F97" w:rsidRPr="000F0710">
        <w:t>zentrale Gesetze an: das „Gesetz zur Wiederherstellung des Berufsbeamtentums“ (7. April 1933)</w:t>
      </w:r>
      <w:r w:rsidR="00AE0428" w:rsidRPr="000F0710">
        <w:t xml:space="preserve"> und</w:t>
      </w:r>
      <w:r w:rsidR="00E06F97" w:rsidRPr="000F0710">
        <w:t xml:space="preserve"> das „Gesetz über die Zulassung zur Rechtsanwal</w:t>
      </w:r>
      <w:r w:rsidR="00E06F97" w:rsidRPr="000F0710">
        <w:t>t</w:t>
      </w:r>
      <w:r w:rsidR="00E06F97" w:rsidRPr="000F0710">
        <w:t>schaft“</w:t>
      </w:r>
      <w:r w:rsidR="00653FEF">
        <w:t xml:space="preserve"> </w:t>
      </w:r>
      <w:r w:rsidR="00E06F97" w:rsidRPr="000F0710">
        <w:t>(11. April 1933)</w:t>
      </w:r>
      <w:r w:rsidR="00AE0428" w:rsidRPr="000F0710">
        <w:t>.</w:t>
      </w:r>
      <w:r w:rsidR="00E06F97" w:rsidRPr="000F0710">
        <w:t xml:space="preserve"> </w:t>
      </w:r>
      <w:r w:rsidR="00AE0428" w:rsidRPr="000F0710">
        <w:t>A</w:t>
      </w:r>
      <w:r w:rsidR="00E06F97" w:rsidRPr="000F0710">
        <w:t>m 22. April wurde den Ärzten „nichtarischer Abstammung“ die Zulassung bei den Krankenkassen entzogen</w:t>
      </w:r>
      <w:r w:rsidR="00AE0428" w:rsidRPr="000F0710">
        <w:t xml:space="preserve"> und</w:t>
      </w:r>
      <w:r w:rsidR="00E06F97" w:rsidRPr="000F0710">
        <w:t xml:space="preserve"> am 25. April </w:t>
      </w:r>
      <w:r w:rsidR="00AE0428" w:rsidRPr="000F0710">
        <w:t xml:space="preserve">wurde </w:t>
      </w:r>
      <w:r w:rsidR="00E06F97" w:rsidRPr="000F0710">
        <w:t>den Schulen und Unive</w:t>
      </w:r>
      <w:r w:rsidR="00E06F97" w:rsidRPr="000F0710">
        <w:t>r</w:t>
      </w:r>
      <w:r w:rsidR="00E06F97" w:rsidRPr="000F0710">
        <w:t>sitäten eine Quotierung für jüdische Schüler und Studenten vorgeschrieben</w:t>
      </w:r>
      <w:r w:rsidR="00AE0428" w:rsidRPr="000F0710">
        <w:t>.</w:t>
      </w:r>
      <w:r w:rsidR="00E06F97" w:rsidRPr="000F0710">
        <w:rPr>
          <w:rStyle w:val="Funotenzeichen"/>
        </w:rPr>
        <w:footnoteReference w:id="16"/>
      </w:r>
      <w:r w:rsidR="00AE0428" w:rsidRPr="000F0710">
        <w:t xml:space="preserve"> Damit waren der jüdischen Bevölkerung zentrale staatsbürgerliche Rechte entzogen worden. Auf gesetzl</w:t>
      </w:r>
      <w:r w:rsidR="00AE0428" w:rsidRPr="000F0710">
        <w:t>i</w:t>
      </w:r>
      <w:r w:rsidR="00AE0428" w:rsidRPr="000F0710">
        <w:t>chem Wege waren sie zu Parias geworden.</w:t>
      </w:r>
    </w:p>
    <w:sectPr w:rsidR="008375CD" w:rsidRPr="000F0710"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99" w:rsidRDefault="00100699" w:rsidP="009B489A">
      <w:pPr>
        <w:spacing w:after="0" w:line="240" w:lineRule="auto"/>
      </w:pPr>
      <w:r>
        <w:separator/>
      </w:r>
    </w:p>
  </w:endnote>
  <w:endnote w:type="continuationSeparator" w:id="0">
    <w:p w:rsidR="00100699" w:rsidRDefault="00100699" w:rsidP="009B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99" w:rsidRDefault="00100699" w:rsidP="009B489A">
      <w:pPr>
        <w:spacing w:after="0" w:line="240" w:lineRule="auto"/>
      </w:pPr>
      <w:r>
        <w:separator/>
      </w:r>
    </w:p>
  </w:footnote>
  <w:footnote w:type="continuationSeparator" w:id="0">
    <w:p w:rsidR="00100699" w:rsidRDefault="00100699" w:rsidP="009B489A">
      <w:pPr>
        <w:spacing w:after="0" w:line="240" w:lineRule="auto"/>
      </w:pPr>
      <w:r>
        <w:continuationSeparator/>
      </w:r>
    </w:p>
  </w:footnote>
  <w:footnote w:id="1">
    <w:p w:rsidR="008E7508" w:rsidRPr="00AE2F14" w:rsidRDefault="008E7508" w:rsidP="00AE2F14">
      <w:pPr>
        <w:spacing w:after="0" w:line="240" w:lineRule="auto"/>
        <w:rPr>
          <w:sz w:val="20"/>
          <w:szCs w:val="20"/>
        </w:rPr>
      </w:pPr>
      <w:r>
        <w:rPr>
          <w:rStyle w:val="Funotenzeichen"/>
        </w:rPr>
        <w:footnoteRef/>
      </w:r>
      <w:r>
        <w:t xml:space="preserve"> </w:t>
      </w:r>
      <w:r w:rsidR="00AE2F14" w:rsidRPr="00AE2F14">
        <w:rPr>
          <w:sz w:val="20"/>
          <w:szCs w:val="20"/>
        </w:rPr>
        <w:t xml:space="preserve">Ian Kershaw: </w:t>
      </w:r>
      <w:r w:rsidR="00AE2F14" w:rsidRPr="00AE2F14">
        <w:rPr>
          <w:i/>
          <w:sz w:val="20"/>
          <w:szCs w:val="20"/>
        </w:rPr>
        <w:t>Hitler</w:t>
      </w:r>
      <w:r w:rsidR="00AE2F14" w:rsidRPr="00AE2F14">
        <w:rPr>
          <w:sz w:val="20"/>
          <w:szCs w:val="20"/>
        </w:rPr>
        <w:t xml:space="preserve">. 1889 – 1936. </w:t>
      </w:r>
      <w:r w:rsidR="00AE2F14">
        <w:rPr>
          <w:sz w:val="20"/>
          <w:szCs w:val="20"/>
        </w:rPr>
        <w:t xml:space="preserve">Bd. 1. </w:t>
      </w:r>
      <w:r w:rsidR="00AE2F14" w:rsidRPr="00AE2F14">
        <w:rPr>
          <w:sz w:val="20"/>
          <w:szCs w:val="20"/>
        </w:rPr>
        <w:t xml:space="preserve">Frankfurt a.M.: Büchergilde Gutenberg 1999, </w:t>
      </w:r>
      <w:r w:rsidRPr="00AE2F14">
        <w:rPr>
          <w:sz w:val="20"/>
          <w:szCs w:val="20"/>
        </w:rPr>
        <w:t>S. 476 f.</w:t>
      </w:r>
    </w:p>
  </w:footnote>
  <w:footnote w:id="2">
    <w:p w:rsidR="008E7508" w:rsidRDefault="008E7508">
      <w:pPr>
        <w:pStyle w:val="Funotentext"/>
      </w:pPr>
      <w:r>
        <w:rPr>
          <w:rStyle w:val="Funotenzeichen"/>
        </w:rPr>
        <w:footnoteRef/>
      </w:r>
      <w:r>
        <w:t xml:space="preserve"> Ebd., S. 478.</w:t>
      </w:r>
    </w:p>
  </w:footnote>
  <w:footnote w:id="3">
    <w:p w:rsidR="008E7508" w:rsidRDefault="008E7508">
      <w:pPr>
        <w:pStyle w:val="Funotentext"/>
      </w:pPr>
      <w:r>
        <w:rPr>
          <w:rStyle w:val="Funotenzeichen"/>
        </w:rPr>
        <w:footnoteRef/>
      </w:r>
      <w:r>
        <w:t xml:space="preserve"> Aufgrund einer Amnestie wurden die Mörder im März 1933 freigelassen.</w:t>
      </w:r>
    </w:p>
  </w:footnote>
  <w:footnote w:id="4">
    <w:p w:rsidR="008E7508" w:rsidRPr="00AE2F14" w:rsidRDefault="008E7508" w:rsidP="00AE2F14">
      <w:pPr>
        <w:spacing w:after="0" w:line="240" w:lineRule="auto"/>
        <w:rPr>
          <w:sz w:val="20"/>
          <w:szCs w:val="20"/>
        </w:rPr>
      </w:pPr>
      <w:r>
        <w:rPr>
          <w:rStyle w:val="Funotenzeichen"/>
        </w:rPr>
        <w:footnoteRef/>
      </w:r>
      <w:r>
        <w:t xml:space="preserve"> </w:t>
      </w:r>
      <w:r w:rsidR="00AE2F14" w:rsidRPr="00AE2F14">
        <w:rPr>
          <w:sz w:val="20"/>
          <w:szCs w:val="20"/>
        </w:rPr>
        <w:t xml:space="preserve">Käthe </w:t>
      </w:r>
      <w:proofErr w:type="spellStart"/>
      <w:r w:rsidR="00AE2F14" w:rsidRPr="00AE2F14">
        <w:rPr>
          <w:sz w:val="20"/>
          <w:szCs w:val="20"/>
        </w:rPr>
        <w:t>Vordtriede</w:t>
      </w:r>
      <w:proofErr w:type="spellEnd"/>
      <w:r w:rsidR="00AE2F14" w:rsidRPr="00AE2F14">
        <w:rPr>
          <w:sz w:val="20"/>
          <w:szCs w:val="20"/>
        </w:rPr>
        <w:t xml:space="preserve">: </w:t>
      </w:r>
      <w:r w:rsidR="00AE2F14" w:rsidRPr="00AE2F14">
        <w:rPr>
          <w:i/>
          <w:sz w:val="20"/>
          <w:szCs w:val="20"/>
        </w:rPr>
        <w:t>„Es gibt Zeiten, in denen man welkt“.</w:t>
      </w:r>
      <w:r w:rsidR="00AE2F14" w:rsidRPr="00AE2F14">
        <w:rPr>
          <w:sz w:val="20"/>
          <w:szCs w:val="20"/>
        </w:rPr>
        <w:t xml:space="preserve"> Mein Leben in Deutschland vor und nach 1933. </w:t>
      </w:r>
      <w:proofErr w:type="spellStart"/>
      <w:r w:rsidR="00AE2F14" w:rsidRPr="00AE2F14">
        <w:rPr>
          <w:sz w:val="20"/>
          <w:szCs w:val="20"/>
        </w:rPr>
        <w:t>Lengwil</w:t>
      </w:r>
      <w:proofErr w:type="spellEnd"/>
      <w:r w:rsidR="00AE2F14" w:rsidRPr="00AE2F14">
        <w:rPr>
          <w:sz w:val="20"/>
          <w:szCs w:val="20"/>
        </w:rPr>
        <w:t xml:space="preserve"> 1999</w:t>
      </w:r>
      <w:r w:rsidR="00AE2F14">
        <w:rPr>
          <w:sz w:val="20"/>
          <w:szCs w:val="20"/>
        </w:rPr>
        <w:t xml:space="preserve">, </w:t>
      </w:r>
      <w:r w:rsidRPr="00AE2F14">
        <w:rPr>
          <w:sz w:val="20"/>
          <w:szCs w:val="20"/>
        </w:rPr>
        <w:t>S. 48.</w:t>
      </w:r>
    </w:p>
  </w:footnote>
  <w:footnote w:id="5">
    <w:p w:rsidR="008E7508" w:rsidRPr="00AE2F14" w:rsidRDefault="008E7508" w:rsidP="00AE2F14">
      <w:pPr>
        <w:spacing w:after="0" w:line="240" w:lineRule="auto"/>
        <w:rPr>
          <w:sz w:val="20"/>
          <w:szCs w:val="20"/>
        </w:rPr>
      </w:pPr>
      <w:r>
        <w:rPr>
          <w:rStyle w:val="Funotenzeichen"/>
        </w:rPr>
        <w:footnoteRef/>
      </w:r>
      <w:r>
        <w:t xml:space="preserve"> </w:t>
      </w:r>
      <w:r w:rsidR="00AE2F14" w:rsidRPr="00AE2F14">
        <w:rPr>
          <w:sz w:val="20"/>
          <w:szCs w:val="20"/>
        </w:rPr>
        <w:t xml:space="preserve">Das </w:t>
      </w:r>
      <w:r w:rsidRPr="00AE2F14">
        <w:rPr>
          <w:sz w:val="20"/>
          <w:szCs w:val="20"/>
        </w:rPr>
        <w:t xml:space="preserve">Beispiel </w:t>
      </w:r>
      <w:r w:rsidR="00AE2F14">
        <w:rPr>
          <w:sz w:val="20"/>
          <w:szCs w:val="20"/>
        </w:rPr>
        <w:t>erwähnt</w:t>
      </w:r>
      <w:r w:rsidRPr="00AE2F14">
        <w:rPr>
          <w:sz w:val="20"/>
          <w:szCs w:val="20"/>
        </w:rPr>
        <w:t xml:space="preserve"> Detlev J. K. </w:t>
      </w:r>
      <w:proofErr w:type="spellStart"/>
      <w:r w:rsidRPr="00AE2F14">
        <w:rPr>
          <w:sz w:val="20"/>
          <w:szCs w:val="20"/>
        </w:rPr>
        <w:t>Peukert</w:t>
      </w:r>
      <w:proofErr w:type="spellEnd"/>
      <w:r w:rsidR="00AE2F14">
        <w:rPr>
          <w:sz w:val="20"/>
          <w:szCs w:val="20"/>
        </w:rPr>
        <w:t>; vgl.</w:t>
      </w:r>
      <w:r w:rsidRPr="00AE2F14">
        <w:rPr>
          <w:sz w:val="20"/>
          <w:szCs w:val="20"/>
        </w:rPr>
        <w:t xml:space="preserve"> </w:t>
      </w:r>
      <w:r w:rsidR="00AE2F14" w:rsidRPr="00AE2F14">
        <w:rPr>
          <w:sz w:val="20"/>
          <w:szCs w:val="20"/>
        </w:rPr>
        <w:t xml:space="preserve">Detlev J. K. </w:t>
      </w:r>
      <w:proofErr w:type="spellStart"/>
      <w:r w:rsidR="00AE2F14" w:rsidRPr="00AE2F14">
        <w:rPr>
          <w:sz w:val="20"/>
          <w:szCs w:val="20"/>
        </w:rPr>
        <w:t>Peukert</w:t>
      </w:r>
      <w:proofErr w:type="spellEnd"/>
      <w:r w:rsidR="00AE2F14" w:rsidRPr="00AE2F14">
        <w:rPr>
          <w:sz w:val="20"/>
          <w:szCs w:val="20"/>
        </w:rPr>
        <w:t xml:space="preserve">: </w:t>
      </w:r>
      <w:r w:rsidR="00AE2F14" w:rsidRPr="00AE2F14">
        <w:rPr>
          <w:i/>
          <w:sz w:val="20"/>
          <w:szCs w:val="20"/>
        </w:rPr>
        <w:t>Die Weimarer Republik</w:t>
      </w:r>
      <w:r w:rsidR="00AE2F14" w:rsidRPr="00AE2F14">
        <w:rPr>
          <w:sz w:val="20"/>
          <w:szCs w:val="20"/>
        </w:rPr>
        <w:t>. Krisenjahre der Klassischen Moderne. Frankfurt a.M. 1987</w:t>
      </w:r>
      <w:r w:rsidR="00AE2F14">
        <w:rPr>
          <w:sz w:val="20"/>
          <w:szCs w:val="20"/>
        </w:rPr>
        <w:t xml:space="preserve">, </w:t>
      </w:r>
      <w:r w:rsidRPr="00AE2F14">
        <w:rPr>
          <w:sz w:val="20"/>
          <w:szCs w:val="20"/>
        </w:rPr>
        <w:t>S. 219.</w:t>
      </w:r>
    </w:p>
  </w:footnote>
  <w:footnote w:id="6">
    <w:p w:rsidR="008E7508" w:rsidRDefault="008E7508">
      <w:pPr>
        <w:pStyle w:val="Funotentext"/>
      </w:pPr>
      <w:r>
        <w:rPr>
          <w:rStyle w:val="Funotenzeichen"/>
        </w:rPr>
        <w:footnoteRef/>
      </w:r>
      <w:r>
        <w:t xml:space="preserve"> </w:t>
      </w:r>
      <w:proofErr w:type="spellStart"/>
      <w:r>
        <w:t>Peukert</w:t>
      </w:r>
      <w:proofErr w:type="spellEnd"/>
      <w:r w:rsidR="00AE2F14">
        <w:t xml:space="preserve">: </w:t>
      </w:r>
      <w:r w:rsidR="00AE2F14">
        <w:rPr>
          <w:i/>
        </w:rPr>
        <w:t>Die Weimarer Republik,</w:t>
      </w:r>
      <w:r>
        <w:t xml:space="preserve"> S. 74 f.</w:t>
      </w:r>
    </w:p>
  </w:footnote>
  <w:footnote w:id="7">
    <w:p w:rsidR="008E7508" w:rsidRPr="00AE2F14" w:rsidRDefault="008E7508" w:rsidP="00AE2F14">
      <w:pPr>
        <w:spacing w:after="0" w:line="240" w:lineRule="auto"/>
        <w:rPr>
          <w:sz w:val="20"/>
          <w:szCs w:val="20"/>
        </w:rPr>
      </w:pPr>
      <w:r>
        <w:rPr>
          <w:rStyle w:val="Funotenzeichen"/>
        </w:rPr>
        <w:footnoteRef/>
      </w:r>
      <w:r>
        <w:t xml:space="preserve"> </w:t>
      </w:r>
      <w:r w:rsidRPr="00AE2F14">
        <w:rPr>
          <w:sz w:val="20"/>
          <w:szCs w:val="20"/>
        </w:rPr>
        <w:t>Ich folge hier Ludolf Herbst</w:t>
      </w:r>
      <w:r w:rsidR="00AE2F14">
        <w:rPr>
          <w:sz w:val="20"/>
          <w:szCs w:val="20"/>
        </w:rPr>
        <w:t>:</w:t>
      </w:r>
      <w:r w:rsidRPr="00AE2F14">
        <w:rPr>
          <w:sz w:val="20"/>
          <w:szCs w:val="20"/>
        </w:rPr>
        <w:t xml:space="preserve"> </w:t>
      </w:r>
      <w:r w:rsidR="00AE2F14" w:rsidRPr="00AE2F14">
        <w:rPr>
          <w:i/>
          <w:sz w:val="20"/>
          <w:szCs w:val="20"/>
        </w:rPr>
        <w:t>Das nationalsozialistische Deutschland 1933-1945</w:t>
      </w:r>
      <w:r w:rsidR="00AE2F14">
        <w:rPr>
          <w:i/>
          <w:sz w:val="20"/>
          <w:szCs w:val="20"/>
        </w:rPr>
        <w:t xml:space="preserve">, </w:t>
      </w:r>
      <w:r w:rsidRPr="00AE2F14">
        <w:rPr>
          <w:sz w:val="20"/>
          <w:szCs w:val="20"/>
        </w:rPr>
        <w:t>S. 62 ff.</w:t>
      </w:r>
    </w:p>
  </w:footnote>
  <w:footnote w:id="8">
    <w:p w:rsidR="008E7508" w:rsidRDefault="008E7508" w:rsidP="00C630A1">
      <w:pPr>
        <w:spacing w:after="0" w:line="240" w:lineRule="auto"/>
        <w:jc w:val="both"/>
      </w:pPr>
      <w:r>
        <w:rPr>
          <w:rStyle w:val="Funotenzeichen"/>
        </w:rPr>
        <w:footnoteRef/>
      </w:r>
      <w:r>
        <w:t xml:space="preserve"> </w:t>
      </w:r>
      <w:r w:rsidRPr="00DE70BC">
        <w:rPr>
          <w:sz w:val="20"/>
          <w:szCs w:val="20"/>
        </w:rPr>
        <w:t>Über die Existenz dieser Listen wurden die Betroffenen von noch vorhandenen loyalen Angehörigen der Pol</w:t>
      </w:r>
      <w:r w:rsidRPr="00DE70BC">
        <w:rPr>
          <w:sz w:val="20"/>
          <w:szCs w:val="20"/>
        </w:rPr>
        <w:t>i</w:t>
      </w:r>
      <w:r w:rsidRPr="00DE70BC">
        <w:rPr>
          <w:sz w:val="20"/>
          <w:szCs w:val="20"/>
        </w:rPr>
        <w:t>zei unterrichtet. Die meisten von ihnen erkannten im Zusammenhang des Reichstagsbrandes die Gefahr, in der sie sich befanden, tauchten unter und flüchteten ins Exil. Sie entkamen zu dieser Zeit noch vergleichsweise u</w:t>
      </w:r>
      <w:r w:rsidRPr="00DE70BC">
        <w:rPr>
          <w:sz w:val="20"/>
          <w:szCs w:val="20"/>
        </w:rPr>
        <w:t>n</w:t>
      </w:r>
      <w:r w:rsidRPr="00DE70BC">
        <w:rPr>
          <w:sz w:val="20"/>
          <w:szCs w:val="20"/>
        </w:rPr>
        <w:t xml:space="preserve">behelligt über die Grenze. Vgl. </w:t>
      </w:r>
      <w:r w:rsidR="00DE70BC" w:rsidRPr="00DE70BC">
        <w:rPr>
          <w:spacing w:val="-3"/>
          <w:sz w:val="20"/>
          <w:szCs w:val="20"/>
        </w:rPr>
        <w:t xml:space="preserve">Frithjof Trapp, Knut Bergmann, Bettina </w:t>
      </w:r>
      <w:proofErr w:type="spellStart"/>
      <w:r w:rsidR="00DE70BC" w:rsidRPr="00DE70BC">
        <w:rPr>
          <w:spacing w:val="-3"/>
          <w:sz w:val="20"/>
          <w:szCs w:val="20"/>
        </w:rPr>
        <w:t>Herre</w:t>
      </w:r>
      <w:proofErr w:type="spellEnd"/>
      <w:r w:rsidR="00DE70BC" w:rsidRPr="00DE70BC">
        <w:rPr>
          <w:spacing w:val="-3"/>
          <w:sz w:val="20"/>
          <w:szCs w:val="20"/>
        </w:rPr>
        <w:t xml:space="preserve">) </w:t>
      </w:r>
      <w:r w:rsidR="00DE70BC" w:rsidRPr="00DE70BC">
        <w:rPr>
          <w:i/>
          <w:spacing w:val="-3"/>
          <w:sz w:val="20"/>
          <w:szCs w:val="20"/>
        </w:rPr>
        <w:t>Carl von Ossietzky und das polit</w:t>
      </w:r>
      <w:r w:rsidR="00DE70BC" w:rsidRPr="00DE70BC">
        <w:rPr>
          <w:i/>
          <w:spacing w:val="-3"/>
          <w:sz w:val="20"/>
          <w:szCs w:val="20"/>
        </w:rPr>
        <w:t>i</w:t>
      </w:r>
      <w:r w:rsidR="00DE70BC" w:rsidRPr="00DE70BC">
        <w:rPr>
          <w:i/>
          <w:spacing w:val="-3"/>
          <w:sz w:val="20"/>
          <w:szCs w:val="20"/>
        </w:rPr>
        <w:t>sche Exil</w:t>
      </w:r>
      <w:r w:rsidR="00DE70BC" w:rsidRPr="00DE70BC">
        <w:rPr>
          <w:spacing w:val="-3"/>
          <w:sz w:val="20"/>
          <w:szCs w:val="20"/>
        </w:rPr>
        <w:t>. Die Arbeit des „Freundeskreises Carl von Ossietzky“ in den Jahren 1933 - 1936. Hamburg 1988</w:t>
      </w:r>
      <w:r w:rsidR="00DE70BC">
        <w:rPr>
          <w:spacing w:val="-3"/>
          <w:sz w:val="20"/>
          <w:szCs w:val="20"/>
        </w:rPr>
        <w:t>, S. 3</w:t>
      </w:r>
      <w:r w:rsidR="00DE70BC" w:rsidRPr="00DE70BC">
        <w:rPr>
          <w:spacing w:val="-3"/>
          <w:sz w:val="20"/>
          <w:szCs w:val="20"/>
        </w:rPr>
        <w:t>.</w:t>
      </w:r>
    </w:p>
  </w:footnote>
  <w:footnote w:id="9">
    <w:p w:rsidR="008E7508" w:rsidRPr="00DE70BC" w:rsidRDefault="008E7508" w:rsidP="00C630A1">
      <w:pPr>
        <w:pStyle w:val="Funotentext"/>
        <w:jc w:val="both"/>
      </w:pPr>
      <w:r>
        <w:rPr>
          <w:rStyle w:val="Funotenzeichen"/>
        </w:rPr>
        <w:footnoteRef/>
      </w:r>
      <w:r>
        <w:t xml:space="preserve"> </w:t>
      </w:r>
      <w:r w:rsidRPr="00DE70BC">
        <w:t xml:space="preserve">Dokumentiert in </w:t>
      </w:r>
      <w:r w:rsidR="00DE70BC" w:rsidRPr="00DE70BC">
        <w:t xml:space="preserve">Hans-Norbert Burkert, Klaus </w:t>
      </w:r>
      <w:proofErr w:type="spellStart"/>
      <w:r w:rsidR="00DE70BC" w:rsidRPr="00DE70BC">
        <w:t>Matußek</w:t>
      </w:r>
      <w:proofErr w:type="spellEnd"/>
      <w:r w:rsidR="00DE70BC" w:rsidRPr="00DE70BC">
        <w:t xml:space="preserve">, Wolfgang </w:t>
      </w:r>
      <w:proofErr w:type="spellStart"/>
      <w:r w:rsidR="00DE70BC" w:rsidRPr="00DE70BC">
        <w:t>Wippermann</w:t>
      </w:r>
      <w:proofErr w:type="spellEnd"/>
      <w:r w:rsidR="00DE70BC" w:rsidRPr="00DE70BC">
        <w:t xml:space="preserve">: </w:t>
      </w:r>
      <w:r w:rsidR="00DE70BC" w:rsidRPr="00DE70BC">
        <w:rPr>
          <w:i/>
        </w:rPr>
        <w:t xml:space="preserve">„Machtergreifung“ Berlin 1933. </w:t>
      </w:r>
      <w:r w:rsidR="00DE70BC" w:rsidRPr="00DE70BC">
        <w:t>Berlin 1982</w:t>
      </w:r>
      <w:r w:rsidR="00DE70BC">
        <w:t xml:space="preserve">, </w:t>
      </w:r>
      <w:r w:rsidRPr="00DE70BC">
        <w:t>S. 113.</w:t>
      </w:r>
    </w:p>
  </w:footnote>
  <w:footnote w:id="10">
    <w:p w:rsidR="008E7508" w:rsidRPr="00DE70BC" w:rsidRDefault="008E7508" w:rsidP="00DE70BC">
      <w:pPr>
        <w:spacing w:after="0" w:line="240" w:lineRule="auto"/>
        <w:rPr>
          <w:sz w:val="20"/>
          <w:szCs w:val="20"/>
        </w:rPr>
      </w:pPr>
      <w:r>
        <w:rPr>
          <w:rStyle w:val="Funotenzeichen"/>
        </w:rPr>
        <w:footnoteRef/>
      </w:r>
      <w:r>
        <w:t xml:space="preserve"> </w:t>
      </w:r>
      <w:r w:rsidR="00DE70BC" w:rsidRPr="00DE70BC">
        <w:rPr>
          <w:sz w:val="20"/>
          <w:szCs w:val="20"/>
        </w:rPr>
        <w:t xml:space="preserve">Fred K. </w:t>
      </w:r>
      <w:proofErr w:type="spellStart"/>
      <w:r w:rsidR="00DE70BC" w:rsidRPr="00DE70BC">
        <w:rPr>
          <w:sz w:val="20"/>
          <w:szCs w:val="20"/>
        </w:rPr>
        <w:t>Prieberg</w:t>
      </w:r>
      <w:proofErr w:type="spellEnd"/>
      <w:r w:rsidR="00DE70BC" w:rsidRPr="00DE70BC">
        <w:rPr>
          <w:sz w:val="20"/>
          <w:szCs w:val="20"/>
        </w:rPr>
        <w:t xml:space="preserve">: </w:t>
      </w:r>
      <w:r w:rsidR="00DE70BC" w:rsidRPr="00DE70BC">
        <w:rPr>
          <w:i/>
          <w:sz w:val="20"/>
          <w:szCs w:val="20"/>
        </w:rPr>
        <w:t>Musik im NS-Staat.</w:t>
      </w:r>
      <w:r w:rsidR="00DE70BC" w:rsidRPr="00DE70BC">
        <w:rPr>
          <w:sz w:val="20"/>
          <w:szCs w:val="20"/>
        </w:rPr>
        <w:t xml:space="preserve"> Frankfurt a.M. 1982</w:t>
      </w:r>
      <w:r w:rsidR="00DE70BC">
        <w:rPr>
          <w:sz w:val="20"/>
          <w:szCs w:val="20"/>
        </w:rPr>
        <w:t xml:space="preserve">, </w:t>
      </w:r>
      <w:r w:rsidRPr="00DE70BC">
        <w:rPr>
          <w:sz w:val="20"/>
          <w:szCs w:val="20"/>
        </w:rPr>
        <w:t>S. 41 ff.</w:t>
      </w:r>
    </w:p>
  </w:footnote>
  <w:footnote w:id="11">
    <w:p w:rsidR="00587934" w:rsidRDefault="00587934" w:rsidP="00C630A1">
      <w:pPr>
        <w:spacing w:after="0" w:line="240" w:lineRule="auto"/>
        <w:jc w:val="both"/>
      </w:pPr>
      <w:r>
        <w:rPr>
          <w:rStyle w:val="Funotenzeichen"/>
        </w:rPr>
        <w:footnoteRef/>
      </w:r>
      <w:r>
        <w:t xml:space="preserve"> </w:t>
      </w:r>
      <w:r w:rsidRPr="00587934">
        <w:rPr>
          <w:sz w:val="20"/>
          <w:szCs w:val="20"/>
        </w:rPr>
        <w:t>Ab</w:t>
      </w:r>
      <w:r>
        <w:rPr>
          <w:sz w:val="20"/>
          <w:szCs w:val="20"/>
        </w:rPr>
        <w:t xml:space="preserve">gebildet in: </w:t>
      </w:r>
      <w:r w:rsidRPr="00587934">
        <w:rPr>
          <w:sz w:val="20"/>
          <w:szCs w:val="20"/>
        </w:rPr>
        <w:t xml:space="preserve">Frithjof Trapp: </w:t>
      </w:r>
      <w:r w:rsidRPr="00587934">
        <w:rPr>
          <w:i/>
          <w:sz w:val="20"/>
          <w:szCs w:val="20"/>
        </w:rPr>
        <w:t>Zwischen Schönberg und Wagner.</w:t>
      </w:r>
      <w:r w:rsidRPr="00587934">
        <w:rPr>
          <w:sz w:val="20"/>
          <w:szCs w:val="20"/>
        </w:rPr>
        <w:t xml:space="preserve"> Musikerexil 1933-1949. Das Beispiel P. Walter Jacob. Berlin 2005</w:t>
      </w:r>
      <w:r>
        <w:rPr>
          <w:sz w:val="20"/>
          <w:szCs w:val="20"/>
        </w:rPr>
        <w:t xml:space="preserve">, S. 48, ebenso in: </w:t>
      </w:r>
      <w:r>
        <w:rPr>
          <w:i/>
          <w:sz w:val="20"/>
          <w:szCs w:val="20"/>
        </w:rPr>
        <w:t xml:space="preserve">Ein </w:t>
      </w:r>
      <w:proofErr w:type="spellStart"/>
      <w:r>
        <w:rPr>
          <w:i/>
          <w:sz w:val="20"/>
          <w:szCs w:val="20"/>
        </w:rPr>
        <w:t>Theatermannim</w:t>
      </w:r>
      <w:proofErr w:type="spellEnd"/>
      <w:r>
        <w:rPr>
          <w:i/>
          <w:sz w:val="20"/>
          <w:szCs w:val="20"/>
        </w:rPr>
        <w:t xml:space="preserve"> </w:t>
      </w:r>
      <w:proofErr w:type="spellStart"/>
      <w:r>
        <w:rPr>
          <w:i/>
          <w:sz w:val="20"/>
          <w:szCs w:val="20"/>
        </w:rPr>
        <w:t>Exil:P</w:t>
      </w:r>
      <w:proofErr w:type="spellEnd"/>
      <w:r>
        <w:rPr>
          <w:i/>
          <w:sz w:val="20"/>
          <w:szCs w:val="20"/>
        </w:rPr>
        <w:t xml:space="preserve">. Walter </w:t>
      </w:r>
      <w:proofErr w:type="spellStart"/>
      <w:r>
        <w:rPr>
          <w:i/>
          <w:sz w:val="20"/>
          <w:szCs w:val="20"/>
        </w:rPr>
        <w:t>Jacob.</w:t>
      </w:r>
      <w:r>
        <w:rPr>
          <w:sz w:val="20"/>
          <w:szCs w:val="20"/>
        </w:rPr>
        <w:t>Hrsg</w:t>
      </w:r>
      <w:proofErr w:type="spellEnd"/>
      <w:r>
        <w:rPr>
          <w:sz w:val="20"/>
          <w:szCs w:val="20"/>
        </w:rPr>
        <w:t xml:space="preserve">. von </w:t>
      </w:r>
      <w:r w:rsidR="00C630A1">
        <w:rPr>
          <w:sz w:val="20"/>
          <w:szCs w:val="20"/>
        </w:rPr>
        <w:t>U</w:t>
      </w:r>
      <w:r>
        <w:rPr>
          <w:sz w:val="20"/>
          <w:szCs w:val="20"/>
        </w:rPr>
        <w:t>we Naumann.</w:t>
      </w:r>
      <w:r w:rsidR="00C630A1">
        <w:rPr>
          <w:sz w:val="20"/>
          <w:szCs w:val="20"/>
        </w:rPr>
        <w:t xml:space="preserve"> </w:t>
      </w:r>
      <w:r>
        <w:rPr>
          <w:sz w:val="20"/>
          <w:szCs w:val="20"/>
        </w:rPr>
        <w:t>Hamburg 1985, S. 45</w:t>
      </w:r>
      <w:r w:rsidRPr="00587934">
        <w:rPr>
          <w:sz w:val="20"/>
          <w:szCs w:val="20"/>
        </w:rPr>
        <w:t>.</w:t>
      </w:r>
    </w:p>
  </w:footnote>
  <w:footnote w:id="12">
    <w:p w:rsidR="008E7508" w:rsidRPr="00587934" w:rsidRDefault="008E7508" w:rsidP="00C630A1">
      <w:pPr>
        <w:spacing w:after="0" w:line="240" w:lineRule="auto"/>
        <w:jc w:val="both"/>
        <w:rPr>
          <w:sz w:val="20"/>
          <w:szCs w:val="20"/>
        </w:rPr>
      </w:pPr>
      <w:r>
        <w:rPr>
          <w:rStyle w:val="Funotenzeichen"/>
        </w:rPr>
        <w:footnoteRef/>
      </w:r>
      <w:r>
        <w:t xml:space="preserve"> </w:t>
      </w:r>
      <w:r w:rsidRPr="00587934">
        <w:rPr>
          <w:sz w:val="20"/>
          <w:szCs w:val="20"/>
        </w:rPr>
        <w:t>Anonymisiert abgedruckt i</w:t>
      </w:r>
      <w:r w:rsidR="00587934" w:rsidRPr="00587934">
        <w:rPr>
          <w:sz w:val="20"/>
          <w:szCs w:val="20"/>
        </w:rPr>
        <w:t xml:space="preserve">n [Rudolf </w:t>
      </w:r>
      <w:proofErr w:type="spellStart"/>
      <w:r w:rsidR="00587934" w:rsidRPr="00587934">
        <w:rPr>
          <w:sz w:val="20"/>
          <w:szCs w:val="20"/>
        </w:rPr>
        <w:t>Olden</w:t>
      </w:r>
      <w:proofErr w:type="spellEnd"/>
      <w:r w:rsidR="00587934" w:rsidRPr="00587934">
        <w:rPr>
          <w:sz w:val="20"/>
          <w:szCs w:val="20"/>
        </w:rPr>
        <w:t xml:space="preserve">:] </w:t>
      </w:r>
      <w:r w:rsidR="00587934" w:rsidRPr="00587934">
        <w:rPr>
          <w:i/>
          <w:sz w:val="20"/>
          <w:szCs w:val="20"/>
        </w:rPr>
        <w:t>Die Lage der Juden in Deutschland 1933.</w:t>
      </w:r>
      <w:r w:rsidR="00587934" w:rsidRPr="00587934">
        <w:rPr>
          <w:sz w:val="20"/>
          <w:szCs w:val="20"/>
        </w:rPr>
        <w:t xml:space="preserve"> Das Schwarzbuch – Tatsachen und Dokumente. Hrsg. vom </w:t>
      </w:r>
      <w:proofErr w:type="spellStart"/>
      <w:r w:rsidR="00587934" w:rsidRPr="00587934">
        <w:rPr>
          <w:sz w:val="20"/>
          <w:szCs w:val="20"/>
        </w:rPr>
        <w:t>Comité</w:t>
      </w:r>
      <w:proofErr w:type="spellEnd"/>
      <w:r w:rsidR="00587934" w:rsidRPr="00587934">
        <w:rPr>
          <w:sz w:val="20"/>
          <w:szCs w:val="20"/>
        </w:rPr>
        <w:t xml:space="preserve"> des </w:t>
      </w:r>
      <w:proofErr w:type="spellStart"/>
      <w:r w:rsidR="00587934" w:rsidRPr="00587934">
        <w:rPr>
          <w:sz w:val="20"/>
          <w:szCs w:val="20"/>
        </w:rPr>
        <w:t>Délégations</w:t>
      </w:r>
      <w:proofErr w:type="spellEnd"/>
      <w:r w:rsidR="00587934" w:rsidRPr="00587934">
        <w:rPr>
          <w:sz w:val="20"/>
          <w:szCs w:val="20"/>
        </w:rPr>
        <w:t xml:space="preserve"> </w:t>
      </w:r>
      <w:proofErr w:type="spellStart"/>
      <w:r w:rsidR="00587934" w:rsidRPr="00587934">
        <w:rPr>
          <w:sz w:val="20"/>
          <w:szCs w:val="20"/>
        </w:rPr>
        <w:t>Juives</w:t>
      </w:r>
      <w:proofErr w:type="spellEnd"/>
      <w:r w:rsidR="00587934">
        <w:rPr>
          <w:sz w:val="20"/>
          <w:szCs w:val="20"/>
        </w:rPr>
        <w:t>.</w:t>
      </w:r>
      <w:r w:rsidR="00587934" w:rsidRPr="00587934">
        <w:rPr>
          <w:sz w:val="20"/>
          <w:szCs w:val="20"/>
        </w:rPr>
        <w:t xml:space="preserve"> Paris 1934</w:t>
      </w:r>
      <w:r w:rsidRPr="00587934">
        <w:rPr>
          <w:sz w:val="20"/>
          <w:szCs w:val="20"/>
        </w:rPr>
        <w:t>, S. 420.</w:t>
      </w:r>
    </w:p>
  </w:footnote>
  <w:footnote w:id="13">
    <w:p w:rsidR="007C03A8" w:rsidRDefault="007C03A8" w:rsidP="00C630A1">
      <w:pPr>
        <w:pStyle w:val="Funotentext"/>
        <w:jc w:val="both"/>
      </w:pPr>
      <w:r>
        <w:rPr>
          <w:rStyle w:val="Funotenzeichen"/>
        </w:rPr>
        <w:footnoteRef/>
      </w:r>
      <w:r>
        <w:t xml:space="preserve"> Der „Protest der Richard-Wagner-Stadt“ und das Schreiben Heydrichs sind abgebildet in: </w:t>
      </w:r>
      <w:r w:rsidRPr="007A7123">
        <w:rPr>
          <w:i/>
        </w:rPr>
        <w:t>Thomas Mann</w:t>
      </w:r>
      <w:r>
        <w:t xml:space="preserve">. Ein Leben in Bildern. Hrsg. von Hans Wysling u. Yvonne </w:t>
      </w:r>
      <w:proofErr w:type="spellStart"/>
      <w:r>
        <w:t>Schmidlin</w:t>
      </w:r>
      <w:proofErr w:type="spellEnd"/>
      <w:r>
        <w:t>. Zürich 1994, S. 316 f.</w:t>
      </w:r>
      <w:r w:rsidR="00A07823">
        <w:t xml:space="preserve"> – </w:t>
      </w:r>
      <w:r w:rsidR="00B034CD">
        <w:t xml:space="preserve">Thomas Mann wurden die Konten gesperrt und ihm wurde die Verfügungsgewalt über sein Vermögen entzogen. </w:t>
      </w:r>
      <w:r w:rsidR="00A07823">
        <w:t xml:space="preserve">Die Tatsache, dass gegen ihn ein Haftbefehl vorlag, war </w:t>
      </w:r>
      <w:r w:rsidR="00B034CD">
        <w:t>ihm</w:t>
      </w:r>
      <w:r w:rsidR="00A07823">
        <w:t xml:space="preserve"> vermutlich </w:t>
      </w:r>
      <w:r w:rsidR="00B034CD">
        <w:t xml:space="preserve">jedoch </w:t>
      </w:r>
      <w:r w:rsidR="00A07823">
        <w:t>nicht bekannt</w:t>
      </w:r>
      <w:r w:rsidR="00B034CD">
        <w:t xml:space="preserve">. </w:t>
      </w:r>
    </w:p>
  </w:footnote>
  <w:footnote w:id="14">
    <w:p w:rsidR="008E7508" w:rsidRDefault="008E7508">
      <w:pPr>
        <w:pStyle w:val="Funotentext"/>
      </w:pPr>
      <w:r>
        <w:rPr>
          <w:rStyle w:val="Funotenzeichen"/>
        </w:rPr>
        <w:footnoteRef/>
      </w:r>
      <w:r>
        <w:t xml:space="preserve"> Die Darstellung folgt Burkert </w:t>
      </w:r>
      <w:r w:rsidR="007A7123">
        <w:t xml:space="preserve">u.a.: </w:t>
      </w:r>
      <w:r w:rsidR="007A7123">
        <w:rPr>
          <w:i/>
        </w:rPr>
        <w:t>„Machtergreifung“</w:t>
      </w:r>
      <w:r>
        <w:t xml:space="preserve">, S. 116. </w:t>
      </w:r>
    </w:p>
  </w:footnote>
  <w:footnote w:id="15">
    <w:p w:rsidR="008E7508" w:rsidRDefault="008E7508" w:rsidP="00C630A1">
      <w:pPr>
        <w:pStyle w:val="Funotentext"/>
        <w:jc w:val="both"/>
      </w:pPr>
      <w:r>
        <w:rPr>
          <w:rStyle w:val="Funotenzeichen"/>
        </w:rPr>
        <w:footnoteRef/>
      </w:r>
      <w:r>
        <w:t xml:space="preserve"> </w:t>
      </w:r>
      <w:r w:rsidR="007A7123">
        <w:t xml:space="preserve">Vgl. </w:t>
      </w:r>
      <w:r w:rsidR="007A7123" w:rsidRPr="00587934">
        <w:rPr>
          <w:i/>
        </w:rPr>
        <w:t>Die Lage der Juden in Deutschland 1933.</w:t>
      </w:r>
      <w:r w:rsidR="007A7123" w:rsidRPr="00587934">
        <w:t xml:space="preserve"> Das Schwarzbuch – Tatsachen und Dokumente. Hrsg. vom </w:t>
      </w:r>
      <w:proofErr w:type="spellStart"/>
      <w:r w:rsidR="007A7123" w:rsidRPr="00587934">
        <w:t>Comité</w:t>
      </w:r>
      <w:proofErr w:type="spellEnd"/>
      <w:r w:rsidR="007A7123" w:rsidRPr="00587934">
        <w:t xml:space="preserve"> des </w:t>
      </w:r>
      <w:proofErr w:type="spellStart"/>
      <w:r w:rsidR="007A7123" w:rsidRPr="00587934">
        <w:t>Délégations</w:t>
      </w:r>
      <w:proofErr w:type="spellEnd"/>
      <w:r w:rsidR="007A7123" w:rsidRPr="00587934">
        <w:t xml:space="preserve"> </w:t>
      </w:r>
      <w:proofErr w:type="spellStart"/>
      <w:r w:rsidR="007A7123" w:rsidRPr="00587934">
        <w:t>Juives</w:t>
      </w:r>
      <w:proofErr w:type="spellEnd"/>
      <w:r w:rsidR="007A7123">
        <w:t>.</w:t>
      </w:r>
      <w:r w:rsidR="007A7123" w:rsidRPr="00587934">
        <w:t xml:space="preserve"> Paris 1934</w:t>
      </w:r>
      <w:r w:rsidR="007A7123">
        <w:t xml:space="preserve">, </w:t>
      </w:r>
      <w:r>
        <w:t>S. 197, hier auch ähnliche Meldungen.</w:t>
      </w:r>
    </w:p>
  </w:footnote>
  <w:footnote w:id="16">
    <w:p w:rsidR="008E7508" w:rsidRPr="007A7123" w:rsidRDefault="008E7508" w:rsidP="007A7123">
      <w:pPr>
        <w:spacing w:after="0" w:line="240" w:lineRule="auto"/>
        <w:rPr>
          <w:sz w:val="20"/>
          <w:szCs w:val="20"/>
        </w:rPr>
      </w:pPr>
      <w:r>
        <w:rPr>
          <w:rStyle w:val="Funotenzeichen"/>
        </w:rPr>
        <w:footnoteRef/>
      </w:r>
      <w:r w:rsidRPr="00D7745F">
        <w:t xml:space="preserve"> </w:t>
      </w:r>
      <w:r w:rsidR="007A7123" w:rsidRPr="007A7123">
        <w:rPr>
          <w:sz w:val="20"/>
          <w:szCs w:val="20"/>
        </w:rPr>
        <w:t>Vgl.</w:t>
      </w:r>
      <w:r w:rsidR="007A7123">
        <w:t xml:space="preserve"> </w:t>
      </w:r>
      <w:r w:rsidR="007A7123" w:rsidRPr="007A7123">
        <w:rPr>
          <w:sz w:val="20"/>
          <w:szCs w:val="20"/>
        </w:rPr>
        <w:t xml:space="preserve">Ludolf Herbst: </w:t>
      </w:r>
      <w:r w:rsidR="007A7123" w:rsidRPr="007A7123">
        <w:rPr>
          <w:i/>
          <w:sz w:val="20"/>
          <w:szCs w:val="20"/>
        </w:rPr>
        <w:t>Das nationalsozialistische Deutschland 1933-</w:t>
      </w:r>
      <w:bookmarkStart w:id="0" w:name="_GoBack"/>
      <w:bookmarkEnd w:id="0"/>
      <w:r w:rsidR="007A7123" w:rsidRPr="007A7123">
        <w:rPr>
          <w:i/>
          <w:sz w:val="20"/>
          <w:szCs w:val="20"/>
        </w:rPr>
        <w:t>1945</w:t>
      </w:r>
      <w:r w:rsidR="007A7123">
        <w:rPr>
          <w:i/>
          <w:sz w:val="20"/>
          <w:szCs w:val="20"/>
        </w:rPr>
        <w:t>,</w:t>
      </w:r>
      <w:r w:rsidRPr="007A7123">
        <w:rPr>
          <w:sz w:val="20"/>
          <w:szCs w:val="20"/>
        </w:rPr>
        <w:t xml:space="preserve"> S.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829"/>
      <w:docPartObj>
        <w:docPartGallery w:val="Page Numbers (Top of Page)"/>
        <w:docPartUnique/>
      </w:docPartObj>
    </w:sdtPr>
    <w:sdtEndPr/>
    <w:sdtContent>
      <w:p w:rsidR="008E7508" w:rsidRDefault="00100699">
        <w:pPr>
          <w:pStyle w:val="Kopfzeile"/>
          <w:jc w:val="right"/>
        </w:pPr>
        <w:r>
          <w:fldChar w:fldCharType="begin"/>
        </w:r>
        <w:r>
          <w:instrText xml:space="preserve"> PAGE   \* MERGEFORMAT </w:instrText>
        </w:r>
        <w:r>
          <w:fldChar w:fldCharType="separate"/>
        </w:r>
        <w:r w:rsidR="00C630A1">
          <w:rPr>
            <w:noProof/>
          </w:rPr>
          <w:t>6</w:t>
        </w:r>
        <w:r>
          <w:rPr>
            <w:noProof/>
          </w:rPr>
          <w:fldChar w:fldCharType="end"/>
        </w:r>
      </w:p>
    </w:sdtContent>
  </w:sdt>
  <w:p w:rsidR="008E7508" w:rsidRDefault="008E75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0AA8"/>
    <w:rsid w:val="00026CBF"/>
    <w:rsid w:val="0003033A"/>
    <w:rsid w:val="00033A48"/>
    <w:rsid w:val="00050875"/>
    <w:rsid w:val="000630E5"/>
    <w:rsid w:val="00063C70"/>
    <w:rsid w:val="00067F72"/>
    <w:rsid w:val="00090F55"/>
    <w:rsid w:val="000943B5"/>
    <w:rsid w:val="000A3D02"/>
    <w:rsid w:val="000A75DF"/>
    <w:rsid w:val="000C67A5"/>
    <w:rsid w:val="000F0710"/>
    <w:rsid w:val="00100699"/>
    <w:rsid w:val="001053BE"/>
    <w:rsid w:val="00105816"/>
    <w:rsid w:val="00130D9F"/>
    <w:rsid w:val="0014246F"/>
    <w:rsid w:val="00142714"/>
    <w:rsid w:val="001518EB"/>
    <w:rsid w:val="00152788"/>
    <w:rsid w:val="001725DA"/>
    <w:rsid w:val="00174517"/>
    <w:rsid w:val="001A1982"/>
    <w:rsid w:val="001B4C6E"/>
    <w:rsid w:val="001B5F2D"/>
    <w:rsid w:val="001D7429"/>
    <w:rsid w:val="001E2C60"/>
    <w:rsid w:val="00211E7D"/>
    <w:rsid w:val="0021605E"/>
    <w:rsid w:val="00221337"/>
    <w:rsid w:val="00234B20"/>
    <w:rsid w:val="00242771"/>
    <w:rsid w:val="002573E1"/>
    <w:rsid w:val="00291E19"/>
    <w:rsid w:val="0029501B"/>
    <w:rsid w:val="00296B37"/>
    <w:rsid w:val="002B4301"/>
    <w:rsid w:val="002D576D"/>
    <w:rsid w:val="002D5D03"/>
    <w:rsid w:val="002D5FFD"/>
    <w:rsid w:val="0031023D"/>
    <w:rsid w:val="00311503"/>
    <w:rsid w:val="00320F95"/>
    <w:rsid w:val="0032432C"/>
    <w:rsid w:val="0033577C"/>
    <w:rsid w:val="00336EFE"/>
    <w:rsid w:val="003444AB"/>
    <w:rsid w:val="00350AA8"/>
    <w:rsid w:val="003864EC"/>
    <w:rsid w:val="003964EB"/>
    <w:rsid w:val="0039760E"/>
    <w:rsid w:val="003D25DD"/>
    <w:rsid w:val="004049E1"/>
    <w:rsid w:val="00420A92"/>
    <w:rsid w:val="00425E3B"/>
    <w:rsid w:val="00450031"/>
    <w:rsid w:val="00470C50"/>
    <w:rsid w:val="00491164"/>
    <w:rsid w:val="004A7130"/>
    <w:rsid w:val="004A7862"/>
    <w:rsid w:val="00526A3C"/>
    <w:rsid w:val="00532A66"/>
    <w:rsid w:val="005409C6"/>
    <w:rsid w:val="00552152"/>
    <w:rsid w:val="00555FEF"/>
    <w:rsid w:val="00567E3D"/>
    <w:rsid w:val="00572673"/>
    <w:rsid w:val="00576587"/>
    <w:rsid w:val="00577146"/>
    <w:rsid w:val="00587934"/>
    <w:rsid w:val="005B3A7B"/>
    <w:rsid w:val="005C3748"/>
    <w:rsid w:val="005F28D9"/>
    <w:rsid w:val="005F6490"/>
    <w:rsid w:val="00632D3C"/>
    <w:rsid w:val="006457BC"/>
    <w:rsid w:val="00653FEF"/>
    <w:rsid w:val="0066032A"/>
    <w:rsid w:val="00665EE9"/>
    <w:rsid w:val="006B4D05"/>
    <w:rsid w:val="006E6BD4"/>
    <w:rsid w:val="006F5FE0"/>
    <w:rsid w:val="00741A14"/>
    <w:rsid w:val="007468DE"/>
    <w:rsid w:val="00792F1C"/>
    <w:rsid w:val="007A4FFA"/>
    <w:rsid w:val="007A7123"/>
    <w:rsid w:val="007C03A8"/>
    <w:rsid w:val="007E1FE0"/>
    <w:rsid w:val="007E641B"/>
    <w:rsid w:val="007F13E7"/>
    <w:rsid w:val="007F7315"/>
    <w:rsid w:val="0080672A"/>
    <w:rsid w:val="00823AF1"/>
    <w:rsid w:val="008375CD"/>
    <w:rsid w:val="008425D1"/>
    <w:rsid w:val="0084769A"/>
    <w:rsid w:val="00857995"/>
    <w:rsid w:val="00875983"/>
    <w:rsid w:val="008B7377"/>
    <w:rsid w:val="008D3526"/>
    <w:rsid w:val="008D6B67"/>
    <w:rsid w:val="008D761D"/>
    <w:rsid w:val="008E7508"/>
    <w:rsid w:val="008F15FB"/>
    <w:rsid w:val="008F4E23"/>
    <w:rsid w:val="00915686"/>
    <w:rsid w:val="0092736D"/>
    <w:rsid w:val="00944943"/>
    <w:rsid w:val="0097574D"/>
    <w:rsid w:val="00977BA8"/>
    <w:rsid w:val="009A4A40"/>
    <w:rsid w:val="009B245D"/>
    <w:rsid w:val="009B489A"/>
    <w:rsid w:val="009B4D2D"/>
    <w:rsid w:val="00A07823"/>
    <w:rsid w:val="00A335C4"/>
    <w:rsid w:val="00A42C4F"/>
    <w:rsid w:val="00A542B1"/>
    <w:rsid w:val="00A61E44"/>
    <w:rsid w:val="00A84E7A"/>
    <w:rsid w:val="00AE0428"/>
    <w:rsid w:val="00AE2F14"/>
    <w:rsid w:val="00B034CD"/>
    <w:rsid w:val="00B04EE9"/>
    <w:rsid w:val="00B1313F"/>
    <w:rsid w:val="00B25F22"/>
    <w:rsid w:val="00B306EC"/>
    <w:rsid w:val="00B3385B"/>
    <w:rsid w:val="00B4142D"/>
    <w:rsid w:val="00B73413"/>
    <w:rsid w:val="00B77416"/>
    <w:rsid w:val="00B96699"/>
    <w:rsid w:val="00BA0F66"/>
    <w:rsid w:val="00BC0D8C"/>
    <w:rsid w:val="00BC312C"/>
    <w:rsid w:val="00BC653F"/>
    <w:rsid w:val="00C15D51"/>
    <w:rsid w:val="00C17545"/>
    <w:rsid w:val="00C53E33"/>
    <w:rsid w:val="00C5706A"/>
    <w:rsid w:val="00C630A1"/>
    <w:rsid w:val="00C70B59"/>
    <w:rsid w:val="00C82ADD"/>
    <w:rsid w:val="00CA0DFA"/>
    <w:rsid w:val="00CB31AD"/>
    <w:rsid w:val="00CB3A43"/>
    <w:rsid w:val="00CE4350"/>
    <w:rsid w:val="00CF0FCA"/>
    <w:rsid w:val="00CF1F49"/>
    <w:rsid w:val="00CF76CA"/>
    <w:rsid w:val="00D23DC2"/>
    <w:rsid w:val="00D46663"/>
    <w:rsid w:val="00D509F9"/>
    <w:rsid w:val="00D7745F"/>
    <w:rsid w:val="00D97317"/>
    <w:rsid w:val="00DA3DA5"/>
    <w:rsid w:val="00DA6CC7"/>
    <w:rsid w:val="00DC1266"/>
    <w:rsid w:val="00DD63F7"/>
    <w:rsid w:val="00DE3EA9"/>
    <w:rsid w:val="00DE70BC"/>
    <w:rsid w:val="00E06F97"/>
    <w:rsid w:val="00E2748D"/>
    <w:rsid w:val="00E43096"/>
    <w:rsid w:val="00E64D23"/>
    <w:rsid w:val="00E8015E"/>
    <w:rsid w:val="00E821C1"/>
    <w:rsid w:val="00E8503A"/>
    <w:rsid w:val="00EB0656"/>
    <w:rsid w:val="00EE591C"/>
    <w:rsid w:val="00EE6321"/>
    <w:rsid w:val="00EF2F6A"/>
    <w:rsid w:val="00F623DE"/>
    <w:rsid w:val="00F8034C"/>
    <w:rsid w:val="00FA1610"/>
    <w:rsid w:val="00FA7113"/>
    <w:rsid w:val="00FB038A"/>
    <w:rsid w:val="00FC558C"/>
    <w:rsid w:val="00FF1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9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48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89A"/>
  </w:style>
  <w:style w:type="paragraph" w:styleId="Fuzeile">
    <w:name w:val="footer"/>
    <w:basedOn w:val="Standard"/>
    <w:link w:val="FuzeileZchn"/>
    <w:uiPriority w:val="99"/>
    <w:semiHidden/>
    <w:unhideWhenUsed/>
    <w:rsid w:val="009B489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B489A"/>
  </w:style>
  <w:style w:type="paragraph" w:styleId="StandardWeb">
    <w:name w:val="Normal (Web)"/>
    <w:basedOn w:val="Standard"/>
    <w:uiPriority w:val="99"/>
    <w:semiHidden/>
    <w:unhideWhenUsed/>
    <w:rsid w:val="00526A3C"/>
    <w:pPr>
      <w:spacing w:before="100" w:beforeAutospacing="1" w:after="100" w:afterAutospacing="1" w:line="240" w:lineRule="auto"/>
    </w:pPr>
    <w:rPr>
      <w:rFonts w:eastAsia="Times New Roman"/>
      <w:lang w:eastAsia="de-DE"/>
    </w:rPr>
  </w:style>
  <w:style w:type="character" w:styleId="Hyperlink">
    <w:name w:val="Hyperlink"/>
    <w:basedOn w:val="Absatz-Standardschriftart"/>
    <w:uiPriority w:val="99"/>
    <w:semiHidden/>
    <w:unhideWhenUsed/>
    <w:rsid w:val="00526A3C"/>
    <w:rPr>
      <w:color w:val="0000FF"/>
      <w:u w:val="single"/>
    </w:rPr>
  </w:style>
  <w:style w:type="paragraph" w:customStyle="1" w:styleId="zitat">
    <w:name w:val="zitat"/>
    <w:basedOn w:val="Standard"/>
    <w:rsid w:val="00526A3C"/>
    <w:pPr>
      <w:spacing w:before="100" w:beforeAutospacing="1" w:after="100" w:afterAutospacing="1" w:line="240" w:lineRule="auto"/>
    </w:pPr>
    <w:rPr>
      <w:rFonts w:eastAsia="Times New Roman"/>
      <w:lang w:eastAsia="de-DE"/>
    </w:rPr>
  </w:style>
  <w:style w:type="paragraph" w:styleId="Funotentext">
    <w:name w:val="footnote text"/>
    <w:basedOn w:val="Standard"/>
    <w:link w:val="FunotentextZchn"/>
    <w:uiPriority w:val="99"/>
    <w:unhideWhenUsed/>
    <w:rsid w:val="00DD63F7"/>
    <w:pPr>
      <w:spacing w:after="0" w:line="240" w:lineRule="auto"/>
    </w:pPr>
    <w:rPr>
      <w:sz w:val="20"/>
      <w:szCs w:val="20"/>
    </w:rPr>
  </w:style>
  <w:style w:type="character" w:customStyle="1" w:styleId="FunotentextZchn">
    <w:name w:val="Fußnotentext Zchn"/>
    <w:basedOn w:val="Absatz-Standardschriftart"/>
    <w:link w:val="Funotentext"/>
    <w:uiPriority w:val="99"/>
    <w:rsid w:val="00DD63F7"/>
    <w:rPr>
      <w:sz w:val="20"/>
      <w:szCs w:val="20"/>
    </w:rPr>
  </w:style>
  <w:style w:type="character" w:styleId="Funotenzeichen">
    <w:name w:val="footnote reference"/>
    <w:basedOn w:val="Absatz-Standardschriftart"/>
    <w:uiPriority w:val="99"/>
    <w:semiHidden/>
    <w:unhideWhenUsed/>
    <w:rsid w:val="00DD63F7"/>
    <w:rPr>
      <w:vertAlign w:val="superscript"/>
    </w:rPr>
  </w:style>
  <w:style w:type="paragraph" w:styleId="Sprechblasentext">
    <w:name w:val="Balloon Text"/>
    <w:basedOn w:val="Standard"/>
    <w:link w:val="SprechblasentextZchn"/>
    <w:uiPriority w:val="99"/>
    <w:semiHidden/>
    <w:unhideWhenUsed/>
    <w:rsid w:val="00211E7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11E7D"/>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2032">
      <w:bodyDiv w:val="1"/>
      <w:marLeft w:val="0"/>
      <w:marRight w:val="0"/>
      <w:marTop w:val="0"/>
      <w:marBottom w:val="0"/>
      <w:divBdr>
        <w:top w:val="none" w:sz="0" w:space="0" w:color="auto"/>
        <w:left w:val="none" w:sz="0" w:space="0" w:color="auto"/>
        <w:bottom w:val="none" w:sz="0" w:space="0" w:color="auto"/>
        <w:right w:val="none" w:sz="0" w:space="0" w:color="auto"/>
      </w:divBdr>
      <w:divsChild>
        <w:div w:id="807363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E4B9-F222-4026-8B9F-CB2B9AAC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14894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2009-02-26T10:33:00Z</cp:lastPrinted>
  <dcterms:created xsi:type="dcterms:W3CDTF">2010-07-28T13:49:00Z</dcterms:created>
  <dcterms:modified xsi:type="dcterms:W3CDTF">2012-06-08T09:38:00Z</dcterms:modified>
</cp:coreProperties>
</file>